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DF" w:rsidRPr="00634654" w:rsidRDefault="000B0482" w:rsidP="00D40823">
      <w:pPr>
        <w:pStyle w:val="NazivInsSl"/>
        <w:rPr>
          <w:rFonts w:ascii="StobiSerif Medium" w:hAnsi="StobiSerif Medium"/>
        </w:rPr>
      </w:pPr>
      <w:r w:rsidRPr="000B0482">
        <w:rPr>
          <w:rFonts w:ascii="StobiSerif Medium" w:hAnsi="StobiSerif Medium"/>
        </w:rPr>
        <w:pict>
          <v:shapetype id="_x0000_t202" coordsize="21600,21600" o:spt="202" path="m,l,21600r21600,l21600,xe">
            <v:stroke joinstyle="miter"/>
            <v:path gradientshapeok="t" o:connecttype="rect"/>
          </v:shapetype>
          <v:shape id="Text Box 3" o:spid="_x0000_s1026" type="#_x0000_t202" style="position:absolute;left:0;text-align:left;margin-left:1.1pt;margin-top:.35pt;width:70.85pt;height:70.85pt;z-index:251661312;visibility:visible;mso-wrap-distance-left:0;mso-wrap-distance-right:14.2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" fillcolor="white [3201]" strokeweight=".5pt">
            <v:path arrowok="t"/>
            <v:textbox inset="0,0,0,0">
              <w:txbxContent>
                <w:p w:rsidR="00AC2305" w:rsidRPr="00000484" w:rsidRDefault="00AC2305" w:rsidP="00000484">
                  <w:r w:rsidRPr="00000484">
                    <w:rPr>
                      <w:noProof/>
                      <w:lang w:val="en-US"/>
                    </w:rPr>
                    <w:drawing>
                      <wp:inline distT="0" distB="0" distL="0" distR="0">
                        <wp:extent cx="792163" cy="595313"/>
                        <wp:effectExtent l="19050" t="0" r="7937" b="0"/>
                        <wp:docPr id="3" name="Picture 1" descr="crveno jadro1"/>
                        <wp:cNvGraphicFramePr/>
                        <a:graphic xmlns:a="http://schemas.openxmlformats.org/drawingml/2006/main">
                          <a:graphicData uri="http://schemas.openxmlformats.org/drawingml/2006/picture">
                            <pic:pic xmlns:pic="http://schemas.openxmlformats.org/drawingml/2006/picture">
                              <pic:nvPicPr>
                                <pic:cNvPr id="11268" name="Picture 5" descr="crveno jadro1"/>
                                <pic:cNvPicPr>
                                  <a:picLocks noChangeAspect="1" noChangeArrowheads="1"/>
                                </pic:cNvPicPr>
                              </pic:nvPicPr>
                              <pic:blipFill>
                                <a:blip r:embed="rId8"/>
                                <a:srcRect/>
                                <a:stretch>
                                  <a:fillRect/>
                                </a:stretch>
                              </pic:blipFill>
                              <pic:spPr bwMode="auto">
                                <a:xfrm>
                                  <a:off x="0" y="0"/>
                                  <a:ext cx="792163" cy="595313"/>
                                </a:xfrm>
                                <a:prstGeom prst="rect">
                                  <a:avLst/>
                                </a:prstGeom>
                                <a:noFill/>
                                <a:ln w="9525">
                                  <a:noFill/>
                                  <a:miter lim="800000"/>
                                  <a:headEnd/>
                                  <a:tailEnd/>
                                </a:ln>
                              </pic:spPr>
                            </pic:pic>
                          </a:graphicData>
                        </a:graphic>
                      </wp:inline>
                    </w:drawing>
                  </w:r>
                </w:p>
              </w:txbxContent>
            </v:textbox>
            <w10:wrap type="square"/>
          </v:shape>
        </w:pict>
      </w:r>
      <w:r w:rsidR="00634654" w:rsidRPr="00634654">
        <w:rPr>
          <w:rFonts w:ascii="StobiSerif Medium" w:hAnsi="StobiSerif Medium"/>
        </w:rPr>
        <w:t>Влада на Република Северна Македонија</w:t>
      </w:r>
    </w:p>
    <w:p w:rsidR="008F57DF" w:rsidRPr="00000484" w:rsidRDefault="005809F4" w:rsidP="00D40823">
      <w:pPr>
        <w:pStyle w:val="NazivInsSl"/>
        <w:rPr>
          <w:rFonts w:ascii="StobiSerif Medium" w:hAnsi="StobiSerif Medium"/>
        </w:rPr>
      </w:pPr>
      <w:r w:rsidRPr="00000484">
        <w:rPr>
          <w:rFonts w:ascii="StobiSerif Medium" w:hAnsi="StobiSerif Medium"/>
        </w:rPr>
        <w:t>ДИРЕКЦИЈА ЗА РАДИЈАЦИОНА СИГУРНОСТ</w:t>
      </w:r>
    </w:p>
    <w:p w:rsidR="00D40823" w:rsidRPr="00000484" w:rsidRDefault="005809F4" w:rsidP="00D40823">
      <w:pPr>
        <w:pStyle w:val="NazivInsSl"/>
        <w:rPr>
          <w:rFonts w:ascii="StobiSerif Medium" w:hAnsi="StobiSerif Medium"/>
          <w:lang w:val="en-US"/>
        </w:rPr>
      </w:pPr>
      <w:r w:rsidRPr="00000484">
        <w:rPr>
          <w:rFonts w:ascii="StobiSerif Medium" w:hAnsi="StobiSerif Medium"/>
        </w:rPr>
        <w:t>ОДДЕЛЕНИЕ ЗА ИНСПЕКЦИСК</w:t>
      </w:r>
      <w:r w:rsidR="00A64B2C">
        <w:rPr>
          <w:rFonts w:ascii="StobiSerif Medium" w:hAnsi="StobiSerif Medium"/>
        </w:rPr>
        <w:t>И</w:t>
      </w:r>
      <w:r w:rsidRPr="00000484">
        <w:rPr>
          <w:rFonts w:ascii="StobiSerif Medium" w:hAnsi="StobiSerif Medium"/>
        </w:rPr>
        <w:t xml:space="preserve"> НАДЗОР</w:t>
      </w:r>
    </w:p>
    <w:p w:rsidR="008B074C" w:rsidRPr="00000484" w:rsidRDefault="00634654" w:rsidP="00330705">
      <w:pPr>
        <w:pStyle w:val="Obr-Title"/>
        <w:rPr>
          <w:rFonts w:ascii="StobiSherif Medium" w:hAnsi="StobiSherif Medium"/>
        </w:rPr>
      </w:pPr>
      <w:r w:rsidRPr="00000484">
        <w:rPr>
          <w:rFonts w:ascii="StobiSherif Medium" w:hAnsi="StobiSherif Medium"/>
        </w:rPr>
        <w:t>ГОДИШЕН</w:t>
      </w:r>
      <w:r w:rsidR="00230C9F" w:rsidRPr="00000484">
        <w:rPr>
          <w:rFonts w:ascii="StobiSherif Medium" w:hAnsi="StobiSherif Medium"/>
        </w:rPr>
        <w:t xml:space="preserve"> ПЛАН  ЗА </w:t>
      </w:r>
      <w:r w:rsidR="000B7F23" w:rsidRPr="00000484">
        <w:rPr>
          <w:rFonts w:ascii="StobiSherif Medium" w:hAnsi="StobiSherif Medium"/>
        </w:rPr>
        <w:t>РАБОТА НА</w:t>
      </w:r>
      <w:r w:rsidR="00D32975" w:rsidRPr="00000484">
        <w:rPr>
          <w:rFonts w:ascii="StobiSherif Medium" w:hAnsi="StobiSherif Medium"/>
          <w:lang w:val="en-US"/>
        </w:rPr>
        <w:t xml:space="preserve"> </w:t>
      </w:r>
      <w:r w:rsidR="00D32975" w:rsidRPr="00000484">
        <w:rPr>
          <w:rFonts w:ascii="StobiSherif Medium" w:hAnsi="StobiSherif Medium"/>
        </w:rPr>
        <w:t xml:space="preserve">ОДДЕЛЕНИЕ ЗА </w:t>
      </w:r>
      <w:r w:rsidR="005809F4" w:rsidRPr="00000484">
        <w:rPr>
          <w:rFonts w:ascii="StobiSherif Medium" w:hAnsi="StobiSherif Medium"/>
        </w:rPr>
        <w:t>ИНСПЕКЦИСКИ НАДЗОР ВО ДИ</w:t>
      </w:r>
      <w:r w:rsidR="00D32975" w:rsidRPr="00000484">
        <w:rPr>
          <w:rFonts w:ascii="StobiSherif Medium" w:hAnsi="StobiSherif Medium"/>
        </w:rPr>
        <w:t>Р</w:t>
      </w:r>
      <w:r w:rsidR="005809F4" w:rsidRPr="00000484">
        <w:rPr>
          <w:rFonts w:ascii="StobiSherif Medium" w:hAnsi="StobiSherif Medium"/>
        </w:rPr>
        <w:t>Е</w:t>
      </w:r>
      <w:r w:rsidR="00D32975" w:rsidRPr="00000484">
        <w:rPr>
          <w:rFonts w:ascii="StobiSherif Medium" w:hAnsi="StobiSherif Medium"/>
        </w:rPr>
        <w:t xml:space="preserve">КЦИЈАТА ЗА </w:t>
      </w:r>
      <w:r w:rsidR="00A64B2C">
        <w:rPr>
          <w:rFonts w:ascii="StobiSherif Medium" w:hAnsi="StobiSherif Medium"/>
        </w:rPr>
        <w:t xml:space="preserve">РАДИЈАЦИОНА СИГУРНОСТ </w:t>
      </w:r>
      <w:r w:rsidR="001D0CCD">
        <w:rPr>
          <w:rFonts w:ascii="StobiSherif Medium" w:hAnsi="StobiSherif Medium"/>
        </w:rPr>
        <w:t>ЗА 2021</w:t>
      </w:r>
      <w:r w:rsidR="00230C9F" w:rsidRPr="00000484">
        <w:rPr>
          <w:rFonts w:ascii="StobiSherif Medium" w:hAnsi="StobiSherif Medium"/>
        </w:rPr>
        <w:t xml:space="preserve"> </w:t>
      </w:r>
      <w:r w:rsidRPr="00000484">
        <w:rPr>
          <w:rFonts w:ascii="StobiSherif Medium" w:hAnsi="StobiSherif Medium"/>
        </w:rPr>
        <w:t>ГОДИНА</w:t>
      </w:r>
    </w:p>
    <w:p w:rsidR="001E6130" w:rsidRPr="00634654" w:rsidRDefault="001E6130" w:rsidP="001E6130">
      <w:pPr>
        <w:rPr>
          <w:lang w:val="en-US"/>
        </w:rPr>
      </w:pPr>
    </w:p>
    <w:tbl>
      <w:tblPr>
        <w:tblStyle w:val="TableGrid"/>
        <w:tblpPr w:topFromText="567" w:tblpXSpec="center"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561"/>
        <w:gridCol w:w="2693"/>
        <w:gridCol w:w="567"/>
        <w:gridCol w:w="4251"/>
      </w:tblGrid>
      <w:tr w:rsidR="001E6130" w:rsidTr="001E6130">
        <w:trPr>
          <w:cantSplit/>
        </w:trPr>
        <w:tc>
          <w:tcPr>
            <w:tcW w:w="1561" w:type="dxa"/>
            <w:vAlign w:val="bottom"/>
          </w:tcPr>
          <w:p w:rsidR="001E6130" w:rsidRPr="002E2FE9" w:rsidRDefault="00EC3223" w:rsidP="001E6130">
            <w:pPr>
              <w:pStyle w:val="Generalii"/>
              <w:spacing w:line="240" w:lineRule="auto"/>
              <w:rPr>
                <w:rFonts w:ascii="StobiSerif Bold" w:hAnsi="StobiSerif Bold"/>
                <w:sz w:val="22"/>
              </w:rPr>
            </w:pPr>
            <w:r>
              <w:rPr>
                <w:rFonts w:ascii="StobiSerif Bold" w:hAnsi="StobiSerif Bold"/>
                <w:sz w:val="22"/>
              </w:rPr>
              <w:t>Дел</w:t>
            </w:r>
            <w:r w:rsidR="001E6130" w:rsidRPr="002E2FE9">
              <w:rPr>
                <w:rFonts w:ascii="StobiSerif Bold" w:hAnsi="StobiSerif Bold"/>
                <w:sz w:val="22"/>
              </w:rPr>
              <w:t>. Бр.</w:t>
            </w:r>
          </w:p>
        </w:tc>
        <w:tc>
          <w:tcPr>
            <w:tcW w:w="2693" w:type="dxa"/>
            <w:tcBorders>
              <w:bottom w:val="single" w:sz="4" w:space="0" w:color="auto"/>
            </w:tcBorders>
            <w:vAlign w:val="bottom"/>
          </w:tcPr>
          <w:p w:rsidR="001E6130" w:rsidRPr="002E2FE9" w:rsidRDefault="001E6130" w:rsidP="001E6130">
            <w:pPr>
              <w:pStyle w:val="Generalii"/>
              <w:spacing w:line="240" w:lineRule="auto"/>
              <w:rPr>
                <w:rFonts w:ascii="StobiSerif Bold" w:hAnsi="StobiSerif Bold"/>
              </w:rPr>
            </w:pPr>
          </w:p>
        </w:tc>
        <w:tc>
          <w:tcPr>
            <w:tcW w:w="567" w:type="dxa"/>
            <w:vAlign w:val="bottom"/>
          </w:tcPr>
          <w:p w:rsidR="001E6130" w:rsidRPr="002E2FE9" w:rsidRDefault="001E6130" w:rsidP="001E6130">
            <w:pPr>
              <w:pStyle w:val="Generalii"/>
              <w:spacing w:line="240" w:lineRule="auto"/>
              <w:rPr>
                <w:rFonts w:ascii="StobiSerif Bold" w:hAnsi="StobiSerif Bold"/>
              </w:rPr>
            </w:pPr>
          </w:p>
        </w:tc>
        <w:tc>
          <w:tcPr>
            <w:tcW w:w="4251" w:type="dxa"/>
            <w:tcBorders>
              <w:bottom w:val="single" w:sz="4" w:space="0" w:color="auto"/>
            </w:tcBorders>
            <w:vAlign w:val="bottom"/>
          </w:tcPr>
          <w:p w:rsidR="001E6130" w:rsidRPr="002E2FE9" w:rsidRDefault="00BD495D" w:rsidP="001E6130">
            <w:pPr>
              <w:pStyle w:val="Generalii"/>
              <w:spacing w:line="240" w:lineRule="auto"/>
              <w:jc w:val="center"/>
              <w:rPr>
                <w:rFonts w:ascii="StobiSerif Bold" w:hAnsi="StobiSerif Bold"/>
              </w:rPr>
            </w:pPr>
            <w:r>
              <w:rPr>
                <w:rFonts w:ascii="StobiSerif Bold" w:hAnsi="StobiSerif Bold"/>
              </w:rPr>
              <w:t>Светислав Ѓорѓевиќ</w:t>
            </w:r>
          </w:p>
        </w:tc>
      </w:tr>
      <w:tr w:rsidR="001E6130" w:rsidRPr="00FB3486" w:rsidTr="001E6130">
        <w:trPr>
          <w:cantSplit/>
          <w:trHeight w:val="20"/>
        </w:trPr>
        <w:tc>
          <w:tcPr>
            <w:tcW w:w="1561" w:type="dxa"/>
          </w:tcPr>
          <w:p w:rsidR="001E6130" w:rsidRPr="002E2FE9" w:rsidRDefault="001E6130" w:rsidP="00330705">
            <w:pPr>
              <w:pStyle w:val="Generalii2"/>
              <w:framePr w:vSpace="0" w:wrap="auto" w:xAlign="left" w:yAlign="inline"/>
              <w:suppressOverlap w:val="0"/>
            </w:pPr>
          </w:p>
        </w:tc>
        <w:tc>
          <w:tcPr>
            <w:tcW w:w="2693" w:type="dxa"/>
            <w:tcBorders>
              <w:top w:val="single" w:sz="4" w:space="0" w:color="auto"/>
            </w:tcBorders>
          </w:tcPr>
          <w:p w:rsidR="001E6130" w:rsidRPr="00531C7C" w:rsidRDefault="001E6130" w:rsidP="00330705">
            <w:pPr>
              <w:pStyle w:val="Generalii2"/>
              <w:framePr w:vSpace="0" w:wrap="auto" w:xAlign="left" w:yAlign="inline"/>
              <w:suppressOverlap w:val="0"/>
            </w:pPr>
          </w:p>
        </w:tc>
        <w:tc>
          <w:tcPr>
            <w:tcW w:w="567" w:type="dxa"/>
          </w:tcPr>
          <w:p w:rsidR="001E6130" w:rsidRPr="00531C7C" w:rsidRDefault="001E6130" w:rsidP="00330705">
            <w:pPr>
              <w:pStyle w:val="Generalii2"/>
              <w:framePr w:vSpace="0" w:wrap="auto" w:xAlign="left" w:yAlign="inline"/>
              <w:suppressOverlap w:val="0"/>
            </w:pPr>
          </w:p>
        </w:tc>
        <w:tc>
          <w:tcPr>
            <w:tcW w:w="4251" w:type="dxa"/>
            <w:tcBorders>
              <w:top w:val="single" w:sz="4" w:space="0" w:color="auto"/>
            </w:tcBorders>
          </w:tcPr>
          <w:p w:rsidR="001E6130" w:rsidRPr="00531C7C" w:rsidRDefault="001E6130" w:rsidP="00330705">
            <w:pPr>
              <w:pStyle w:val="Generalii2"/>
              <w:framePr w:vSpace="0" w:wrap="auto" w:xAlign="left" w:yAlign="inline"/>
              <w:suppressOverlap w:val="0"/>
            </w:pPr>
            <w:r w:rsidRPr="00531C7C">
              <w:t>[</w:t>
            </w:r>
          </w:p>
        </w:tc>
      </w:tr>
      <w:tr w:rsidR="001E6130" w:rsidTr="001E6130">
        <w:trPr>
          <w:cantSplit/>
        </w:trPr>
        <w:tc>
          <w:tcPr>
            <w:tcW w:w="1561" w:type="dxa"/>
            <w:vAlign w:val="bottom"/>
          </w:tcPr>
          <w:p w:rsidR="001E6130" w:rsidRPr="002E2FE9" w:rsidRDefault="001E6130" w:rsidP="001E6130">
            <w:pPr>
              <w:pStyle w:val="Generalii"/>
              <w:spacing w:line="240" w:lineRule="auto"/>
              <w:rPr>
                <w:rFonts w:ascii="StobiSerif Bold" w:hAnsi="StobiSerif Bold"/>
                <w:sz w:val="22"/>
              </w:rPr>
            </w:pPr>
            <w:r w:rsidRPr="002E2FE9">
              <w:rPr>
                <w:rFonts w:ascii="StobiSerif Bold" w:hAnsi="StobiSerif Bold"/>
                <w:sz w:val="22"/>
              </w:rPr>
              <w:t>Датум:</w:t>
            </w:r>
          </w:p>
        </w:tc>
        <w:tc>
          <w:tcPr>
            <w:tcW w:w="2693" w:type="dxa"/>
            <w:vAlign w:val="bottom"/>
          </w:tcPr>
          <w:p w:rsidR="001E6130" w:rsidRPr="002E2FE9" w:rsidRDefault="001E6130" w:rsidP="001E6130">
            <w:pPr>
              <w:pStyle w:val="Generalii"/>
              <w:spacing w:line="240" w:lineRule="auto"/>
              <w:rPr>
                <w:rFonts w:ascii="StobiSerif Bold" w:hAnsi="StobiSerif Bold"/>
              </w:rPr>
            </w:pPr>
          </w:p>
        </w:tc>
        <w:tc>
          <w:tcPr>
            <w:tcW w:w="567" w:type="dxa"/>
            <w:vAlign w:val="bottom"/>
          </w:tcPr>
          <w:p w:rsidR="001E6130" w:rsidRPr="002E2FE9" w:rsidRDefault="001E6130" w:rsidP="001E6130">
            <w:pPr>
              <w:pStyle w:val="Generalii"/>
              <w:spacing w:line="240" w:lineRule="auto"/>
              <w:rPr>
                <w:rFonts w:ascii="StobiSerif Bold" w:hAnsi="StobiSerif Bold"/>
              </w:rPr>
            </w:pPr>
          </w:p>
        </w:tc>
        <w:tc>
          <w:tcPr>
            <w:tcW w:w="4251" w:type="dxa"/>
            <w:vAlign w:val="bottom"/>
          </w:tcPr>
          <w:p w:rsidR="001E6130" w:rsidRPr="002E2FE9" w:rsidRDefault="00BD495D" w:rsidP="001E6130">
            <w:pPr>
              <w:pStyle w:val="Generalii"/>
              <w:spacing w:line="240" w:lineRule="auto"/>
              <w:jc w:val="center"/>
              <w:rPr>
                <w:rFonts w:ascii="StobiSerif Bold" w:hAnsi="StobiSerif Bold"/>
              </w:rPr>
            </w:pPr>
            <w:r>
              <w:rPr>
                <w:rFonts w:ascii="StobiSerif Bold" w:hAnsi="StobiSerif Bold"/>
              </w:rPr>
              <w:t>директор</w:t>
            </w:r>
          </w:p>
        </w:tc>
      </w:tr>
      <w:tr w:rsidR="001E6130" w:rsidRPr="00FB3486" w:rsidTr="001E6130">
        <w:trPr>
          <w:cantSplit/>
          <w:trHeight w:val="20"/>
        </w:trPr>
        <w:tc>
          <w:tcPr>
            <w:tcW w:w="1561" w:type="dxa"/>
          </w:tcPr>
          <w:p w:rsidR="001E6130" w:rsidRPr="002E2FE9" w:rsidRDefault="001E6130" w:rsidP="00330705">
            <w:pPr>
              <w:pStyle w:val="Generalii2"/>
              <w:framePr w:vSpace="0" w:wrap="auto" w:xAlign="left" w:yAlign="inline"/>
              <w:suppressOverlap w:val="0"/>
            </w:pPr>
          </w:p>
        </w:tc>
        <w:tc>
          <w:tcPr>
            <w:tcW w:w="2693" w:type="dxa"/>
            <w:tcBorders>
              <w:top w:val="single" w:sz="4" w:space="0" w:color="auto"/>
            </w:tcBorders>
          </w:tcPr>
          <w:p w:rsidR="001E6130" w:rsidRPr="002E2FE9" w:rsidRDefault="001E6130" w:rsidP="00330705">
            <w:pPr>
              <w:pStyle w:val="Generalii2"/>
              <w:framePr w:vSpace="0" w:wrap="auto" w:xAlign="left" w:yAlign="inline"/>
              <w:suppressOverlap w:val="0"/>
            </w:pPr>
          </w:p>
        </w:tc>
        <w:tc>
          <w:tcPr>
            <w:tcW w:w="567" w:type="dxa"/>
          </w:tcPr>
          <w:p w:rsidR="001E6130" w:rsidRPr="002E2FE9" w:rsidRDefault="001E6130" w:rsidP="00330705">
            <w:pPr>
              <w:pStyle w:val="Generalii2"/>
              <w:framePr w:vSpace="0" w:wrap="auto" w:xAlign="left" w:yAlign="inline"/>
              <w:suppressOverlap w:val="0"/>
            </w:pPr>
          </w:p>
        </w:tc>
        <w:tc>
          <w:tcPr>
            <w:tcW w:w="4251" w:type="dxa"/>
            <w:tcBorders>
              <w:top w:val="single" w:sz="4" w:space="0" w:color="auto"/>
            </w:tcBorders>
          </w:tcPr>
          <w:p w:rsidR="001E6130" w:rsidRPr="002E2FE9" w:rsidRDefault="001E6130" w:rsidP="00330705">
            <w:pPr>
              <w:pStyle w:val="Generalii2"/>
              <w:framePr w:vSpace="0" w:wrap="auto" w:xAlign="left" w:yAlign="inline"/>
              <w:suppressOverlap w:val="0"/>
            </w:pPr>
          </w:p>
        </w:tc>
      </w:tr>
      <w:tr w:rsidR="001E6130" w:rsidTr="001E6130">
        <w:trPr>
          <w:cantSplit/>
        </w:trPr>
        <w:tc>
          <w:tcPr>
            <w:tcW w:w="1561" w:type="dxa"/>
            <w:vAlign w:val="bottom"/>
          </w:tcPr>
          <w:p w:rsidR="001E6130" w:rsidRPr="002E2FE9" w:rsidRDefault="001E6130" w:rsidP="001E6130">
            <w:pPr>
              <w:pStyle w:val="Generalii"/>
              <w:spacing w:line="240" w:lineRule="auto"/>
              <w:rPr>
                <w:rFonts w:ascii="StobiSerif Bold" w:hAnsi="StobiSerif Bold"/>
                <w:sz w:val="22"/>
              </w:rPr>
            </w:pPr>
            <w:r w:rsidRPr="002E2FE9">
              <w:rPr>
                <w:rFonts w:ascii="StobiSerif Bold" w:hAnsi="StobiSerif Bold"/>
                <w:sz w:val="22"/>
              </w:rPr>
              <w:t>Место:</w:t>
            </w:r>
          </w:p>
        </w:tc>
        <w:tc>
          <w:tcPr>
            <w:tcW w:w="2693" w:type="dxa"/>
            <w:vAlign w:val="bottom"/>
          </w:tcPr>
          <w:p w:rsidR="001E6130" w:rsidRPr="002E2FE9" w:rsidRDefault="001E6130" w:rsidP="001E6130">
            <w:pPr>
              <w:pStyle w:val="Generalii"/>
              <w:spacing w:line="240" w:lineRule="auto"/>
              <w:rPr>
                <w:rFonts w:ascii="StobiSerif Bold" w:hAnsi="StobiSerif Bold"/>
              </w:rPr>
            </w:pPr>
          </w:p>
        </w:tc>
        <w:tc>
          <w:tcPr>
            <w:tcW w:w="567" w:type="dxa"/>
            <w:vAlign w:val="bottom"/>
          </w:tcPr>
          <w:p w:rsidR="001E6130" w:rsidRPr="002E2FE9" w:rsidRDefault="001E6130" w:rsidP="001E6130">
            <w:pPr>
              <w:pStyle w:val="Generalii"/>
              <w:spacing w:line="240" w:lineRule="auto"/>
              <w:jc w:val="center"/>
              <w:rPr>
                <w:rFonts w:ascii="StobiSerif Bold" w:hAnsi="StobiSerif Bold"/>
              </w:rPr>
            </w:pPr>
            <w:r w:rsidRPr="002E2FE9">
              <w:rPr>
                <w:rFonts w:ascii="StobiSerif Bold" w:hAnsi="StobiSerif Bold"/>
                <w:sz w:val="20"/>
              </w:rPr>
              <w:t>(м.п.)</w:t>
            </w:r>
          </w:p>
        </w:tc>
        <w:tc>
          <w:tcPr>
            <w:tcW w:w="4251" w:type="dxa"/>
            <w:tcBorders>
              <w:bottom w:val="single" w:sz="4" w:space="0" w:color="auto"/>
            </w:tcBorders>
            <w:vAlign w:val="bottom"/>
          </w:tcPr>
          <w:p w:rsidR="001E6130" w:rsidRPr="002E2FE9" w:rsidRDefault="001E6130" w:rsidP="001E6130">
            <w:pPr>
              <w:pStyle w:val="Generalii"/>
              <w:spacing w:line="240" w:lineRule="auto"/>
              <w:jc w:val="center"/>
              <w:rPr>
                <w:rFonts w:ascii="StobiSerif Bold" w:hAnsi="StobiSerif Bold"/>
              </w:rPr>
            </w:pPr>
          </w:p>
        </w:tc>
      </w:tr>
      <w:tr w:rsidR="001E6130" w:rsidRPr="00FB3486" w:rsidTr="001E6130">
        <w:trPr>
          <w:cantSplit/>
          <w:trHeight w:val="20"/>
        </w:trPr>
        <w:tc>
          <w:tcPr>
            <w:tcW w:w="1561" w:type="dxa"/>
          </w:tcPr>
          <w:p w:rsidR="001E6130" w:rsidRPr="002E2FE9" w:rsidRDefault="001E6130" w:rsidP="00330705">
            <w:pPr>
              <w:pStyle w:val="Generalii2"/>
              <w:framePr w:vSpace="0" w:wrap="auto" w:xAlign="left" w:yAlign="inline"/>
              <w:suppressOverlap w:val="0"/>
            </w:pPr>
          </w:p>
        </w:tc>
        <w:tc>
          <w:tcPr>
            <w:tcW w:w="2693" w:type="dxa"/>
            <w:tcBorders>
              <w:top w:val="single" w:sz="4" w:space="0" w:color="auto"/>
            </w:tcBorders>
          </w:tcPr>
          <w:p w:rsidR="001E6130" w:rsidRPr="002E2FE9" w:rsidRDefault="001E6130" w:rsidP="00330705">
            <w:pPr>
              <w:pStyle w:val="Generalii2"/>
              <w:framePr w:vSpace="0" w:wrap="auto" w:xAlign="left" w:yAlign="inline"/>
              <w:suppressOverlap w:val="0"/>
            </w:pPr>
          </w:p>
        </w:tc>
        <w:tc>
          <w:tcPr>
            <w:tcW w:w="567" w:type="dxa"/>
          </w:tcPr>
          <w:p w:rsidR="001E6130" w:rsidRPr="002E2FE9" w:rsidRDefault="001E6130" w:rsidP="00330705">
            <w:pPr>
              <w:pStyle w:val="Generalii2"/>
              <w:framePr w:vSpace="0" w:wrap="auto" w:xAlign="left" w:yAlign="inline"/>
              <w:suppressOverlap w:val="0"/>
            </w:pPr>
          </w:p>
        </w:tc>
        <w:tc>
          <w:tcPr>
            <w:tcW w:w="4251" w:type="dxa"/>
            <w:tcBorders>
              <w:top w:val="single" w:sz="4" w:space="0" w:color="auto"/>
            </w:tcBorders>
          </w:tcPr>
          <w:p w:rsidR="001E6130" w:rsidRPr="002E2FE9" w:rsidRDefault="001E6130" w:rsidP="00330705">
            <w:pPr>
              <w:pStyle w:val="Generalii2"/>
              <w:framePr w:vSpace="0" w:wrap="auto" w:xAlign="left" w:yAlign="inline"/>
              <w:suppressOverlap w:val="0"/>
            </w:pPr>
            <w:r w:rsidRPr="002E2FE9">
              <w:t>[потпис]</w:t>
            </w:r>
          </w:p>
        </w:tc>
      </w:tr>
    </w:tbl>
    <w:p w:rsidR="00531C7C" w:rsidRDefault="00531C7C" w:rsidP="00330705">
      <w:pPr>
        <w:pStyle w:val="BodyText"/>
        <w:sectPr w:rsidR="00531C7C" w:rsidSect="007E57C0">
          <w:pgSz w:w="11906" w:h="16838"/>
          <w:pgMar w:top="1418" w:right="1418" w:bottom="1418" w:left="1418" w:header="708" w:footer="708" w:gutter="0"/>
          <w:cols w:space="708"/>
          <w:docGrid w:linePitch="360"/>
        </w:sectPr>
      </w:pPr>
    </w:p>
    <w:p w:rsidR="00531C7C" w:rsidRPr="00330705" w:rsidRDefault="00531C7C" w:rsidP="00531C7C">
      <w:pPr>
        <w:pStyle w:val="Obr-Naslov1"/>
        <w:rPr>
          <w:lang w:val="en-US"/>
        </w:rPr>
      </w:pPr>
      <w:r>
        <w:lastRenderedPageBreak/>
        <w:t>Резиме</w:t>
      </w:r>
    </w:p>
    <w:p w:rsidR="00CB4187" w:rsidRDefault="00CB4187" w:rsidP="00330705">
      <w:pPr>
        <w:pStyle w:val="Obr-Tekst1"/>
      </w:pPr>
      <w:r>
        <w:t xml:space="preserve">Согласно член 31 точка 4 од Законот за инспекциски надзор </w:t>
      </w:r>
      <w:r w:rsidR="00A16F3C">
        <w:t xml:space="preserve">( Службен весник на РСМ </w:t>
      </w:r>
      <w:r>
        <w:t>бр. 109/2019</w:t>
      </w:r>
      <w:r w:rsidR="00A16F3C">
        <w:t>)</w:t>
      </w:r>
      <w:r>
        <w:t>, Директорот на Дирекцијата за радијациона сигурност го подготви годишниот п</w:t>
      </w:r>
      <w:r w:rsidR="00000484">
        <w:t xml:space="preserve">лан за работата на одделението за инспекциски надзор </w:t>
      </w:r>
      <w:r>
        <w:t>.</w:t>
      </w:r>
    </w:p>
    <w:p w:rsidR="00531C7C" w:rsidRDefault="00000484" w:rsidP="00330705">
      <w:pPr>
        <w:pStyle w:val="Obr-Tekst1"/>
      </w:pPr>
      <w:r>
        <w:t xml:space="preserve"> В</w:t>
      </w:r>
      <w:r w:rsidR="00CB4187">
        <w:t>о рамките на планот ќе биде даден осврт на   анализата на ризик врз основа на која се планираат видот и бројот на инспекциски надзори како и предвидениот број на неправилности кои се претпоставува дека ќе биде констатира</w:t>
      </w:r>
      <w:r w:rsidR="000749BB">
        <w:t>н кај правните лица кај кои ќе се врши инспекциски надзор.</w:t>
      </w:r>
    </w:p>
    <w:p w:rsidR="00363B7F" w:rsidRDefault="00363B7F" w:rsidP="00330705">
      <w:pPr>
        <w:pStyle w:val="Obr-Tekst1"/>
      </w:pPr>
      <w:r>
        <w:t>Во п</w:t>
      </w:r>
      <w:r w:rsidR="00286B60">
        <w:t>оглавјето за организација и систем на раководење ќе биде прикажана организационата структура на Дирекцијата, бројот на вработ</w:t>
      </w:r>
      <w:r w:rsidR="000749BB">
        <w:t>ените  и системот на раководење, со посебен осврт на одделението за инспекциски надзор.</w:t>
      </w:r>
    </w:p>
    <w:p w:rsidR="000749BB" w:rsidRDefault="000749BB" w:rsidP="00330705">
      <w:pPr>
        <w:pStyle w:val="Obr-Tekst1"/>
      </w:pPr>
      <w:r>
        <w:t xml:space="preserve">Бројот на инспекторите  по вид , звање и старосна структура ќе биде прикажан и со помош на табела, која во продолжение ќе биде надополнета со табеларен приказ на бројот на инспектори кои </w:t>
      </w:r>
      <w:r w:rsidR="00FC0EFD">
        <w:t>треба да се пензионираат во 2021</w:t>
      </w:r>
      <w:r>
        <w:t>, како и број на помлади инспектори кои се предвидени за вработување.</w:t>
      </w:r>
      <w:r w:rsidR="00286B60">
        <w:t xml:space="preserve"> </w:t>
      </w:r>
    </w:p>
    <w:p w:rsidR="00F27D70" w:rsidRDefault="00A16F3C" w:rsidP="00330705">
      <w:pPr>
        <w:pStyle w:val="Obr-Tekst1"/>
      </w:pPr>
      <w:r>
        <w:t xml:space="preserve">Годишниот план го прикажува бројот на планирани инспекциски надзори по </w:t>
      </w:r>
      <w:r w:rsidR="00E21F5A">
        <w:t>вид како и бројот на непр</w:t>
      </w:r>
      <w:r w:rsidR="00AC2305">
        <w:t>ав</w:t>
      </w:r>
      <w:r w:rsidR="00E21F5A">
        <w:t xml:space="preserve">илности кој согласно извршената анализа на ризик се очекуваат да бидат констатирани кај правните лица </w:t>
      </w:r>
      <w:r w:rsidR="00F27D70">
        <w:t xml:space="preserve"> со табеларен приказ на истите.</w:t>
      </w:r>
    </w:p>
    <w:p w:rsidR="00D57291" w:rsidRPr="00AC2305" w:rsidRDefault="00E21F5A" w:rsidP="00AC2305">
      <w:pPr>
        <w:pStyle w:val="Obr-Tekst1"/>
        <w:jc w:val="left"/>
        <w:rPr>
          <w:lang w:val="en-US"/>
        </w:rPr>
      </w:pPr>
      <w:r>
        <w:t>Годишниот план дава приказ на меѓународната соработка која е планирана за 2021 година</w:t>
      </w:r>
      <w:r w:rsidR="00D57291">
        <w:t>. Соработката на меѓународен план ги прикажува  а</w:t>
      </w:r>
      <w:r w:rsidR="00AC2305">
        <w:t>ктивностите со кои Дирекцијата,</w:t>
      </w:r>
      <w:r w:rsidR="00AC2305">
        <w:rPr>
          <w:lang w:val="en-US"/>
        </w:rPr>
        <w:t xml:space="preserve"> </w:t>
      </w:r>
      <w:r w:rsidR="00D57291">
        <w:t xml:space="preserve">особено </w:t>
      </w:r>
      <w:r>
        <w:t>Одделението за инскциски надзор</w:t>
      </w:r>
      <w:r w:rsidR="00AC2305">
        <w:rPr>
          <w:lang w:val="en-GB"/>
        </w:rPr>
        <w:t xml:space="preserve"> </w:t>
      </w:r>
      <w:r w:rsidR="00D57291">
        <w:t>придонесува кон евроинтеграциските процеси кои се главна определба на државата.</w:t>
      </w:r>
    </w:p>
    <w:p w:rsidR="00E21F5A" w:rsidRPr="00AC2305" w:rsidRDefault="00D57291" w:rsidP="00330705">
      <w:pPr>
        <w:pStyle w:val="Obr-Tekst1"/>
        <w:rPr>
          <w:lang w:val="en-US"/>
        </w:rPr>
      </w:pPr>
      <w:r>
        <w:t xml:space="preserve">На крајот,  </w:t>
      </w:r>
      <w:r w:rsidR="00DC32D5">
        <w:t xml:space="preserve">Годишниот план дава осврт и на сите </w:t>
      </w:r>
      <w:r w:rsidR="00E21F5A">
        <w:t xml:space="preserve"> останатите активности во кои се вклучени инспекторите </w:t>
      </w:r>
      <w:r w:rsidR="00DC32D5">
        <w:t>покрај вршењето на инспекциски надзори.</w:t>
      </w:r>
    </w:p>
    <w:p w:rsidR="00286B60" w:rsidRDefault="00286B60" w:rsidP="00330705">
      <w:pPr>
        <w:pStyle w:val="Obr-Tekst1"/>
      </w:pPr>
    </w:p>
    <w:p w:rsidR="00531C7C" w:rsidRDefault="00531C7C" w:rsidP="00330705">
      <w:pPr>
        <w:pStyle w:val="Obr-Naslov1"/>
        <w:rPr>
          <w:lang w:val="en-GB"/>
        </w:rPr>
      </w:pPr>
      <w:r>
        <w:t>Анализа на ризици</w:t>
      </w:r>
    </w:p>
    <w:p w:rsidR="00CA38AC" w:rsidRPr="00AC2305" w:rsidRDefault="00DC32D5" w:rsidP="00DC32D5">
      <w:pPr>
        <w:pStyle w:val="BodyText"/>
        <w:spacing w:after="60"/>
        <w:ind w:firstLine="540"/>
        <w:rPr>
          <w:rFonts w:ascii="StobiSansRegular" w:hAnsi="StobiSansRegular" w:cs="Times New Roman"/>
        </w:rPr>
      </w:pPr>
      <w:r w:rsidRPr="00AC2305">
        <w:rPr>
          <w:rFonts w:ascii="StobiSansRegular" w:hAnsi="StobiSansRegular" w:cs="Times New Roman"/>
        </w:rPr>
        <w:t>Анализата на ризик направена со цел планирање на бројот на инспекциски надзори кои ќе се вршат во 2021 година од страна на инспекторите за радијациона сигурност е целосно заснована на претходно донесената и од Инспекциски Совет одобрена Методологија на проценка на ризик при планирање на инспекциски надзори</w:t>
      </w:r>
      <w:r w:rsidR="00CA38AC" w:rsidRPr="00AC2305">
        <w:rPr>
          <w:rFonts w:ascii="StobiSansRegular" w:hAnsi="StobiSansRegular" w:cs="Times New Roman"/>
        </w:rPr>
        <w:t xml:space="preserve"> </w:t>
      </w:r>
    </w:p>
    <w:p w:rsidR="00CA38AC" w:rsidRPr="004C1FA7" w:rsidRDefault="00CA38AC" w:rsidP="00CA38AC">
      <w:pPr>
        <w:spacing w:after="60" w:line="240" w:lineRule="auto"/>
        <w:ind w:firstLine="540"/>
        <w:jc w:val="both"/>
        <w:rPr>
          <w:rFonts w:ascii="StobiSansRegular" w:hAnsi="StobiSansRegular"/>
          <w:lang w:val="en-GB"/>
        </w:rPr>
      </w:pPr>
      <w:r w:rsidRPr="004C1FA7">
        <w:rPr>
          <w:rFonts w:ascii="StobiSansRegular" w:hAnsi="StobiSansRegular" w:cs="Times New Roman"/>
        </w:rPr>
        <w:t xml:space="preserve">Проценката на ризикот во делокругот на надлежностите на ДРС, се врши врз база на анализа на постоечката состојба од аспект на работење на субјектите кои се предмет на инспекциски надзор и врз база на </w:t>
      </w:r>
      <w:r w:rsidR="006E53B4">
        <w:rPr>
          <w:rFonts w:asciiTheme="minorHAnsi" w:hAnsiTheme="minorHAnsi" w:cs="Times New Roman"/>
        </w:rPr>
        <w:t xml:space="preserve">искуствта и сознанијата добиени од </w:t>
      </w:r>
      <w:r w:rsidRPr="004C1FA7">
        <w:rPr>
          <w:rFonts w:ascii="StobiSansRegular" w:hAnsi="StobiSansRegular" w:cs="Times New Roman"/>
        </w:rPr>
        <w:t xml:space="preserve">извршените инспекциски надзори во изминатите години. </w:t>
      </w:r>
    </w:p>
    <w:p w:rsidR="002765B8" w:rsidRPr="004C1FA7" w:rsidRDefault="002765B8" w:rsidP="002765B8">
      <w:pPr>
        <w:spacing w:after="60" w:line="240" w:lineRule="auto"/>
        <w:ind w:firstLine="547"/>
        <w:jc w:val="both"/>
        <w:rPr>
          <w:rFonts w:ascii="StobiSansRegular" w:hAnsi="StobiSansRegular" w:cs="Times New Roman"/>
        </w:rPr>
      </w:pPr>
      <w:r w:rsidRPr="004C1FA7">
        <w:rPr>
          <w:rFonts w:ascii="StobiSansRegular" w:hAnsi="StobiSansRegular" w:cs="Times New Roman"/>
        </w:rPr>
        <w:lastRenderedPageBreak/>
        <w:t>Со анализата се врши проценка на ризиците и последиците произлезени од неприменување, односно погрешно или недоволно применување на</w:t>
      </w:r>
      <w:r w:rsidR="00CA38AC" w:rsidRPr="004C1FA7">
        <w:rPr>
          <w:rFonts w:ascii="StobiSansRegular" w:hAnsi="StobiSansRegular" w:cs="Times New Roman"/>
          <w:lang w:val="en-GB"/>
        </w:rPr>
        <w:t xml:space="preserve"> </w:t>
      </w:r>
      <w:r w:rsidR="00CA38AC" w:rsidRPr="004C1FA7">
        <w:rPr>
          <w:rFonts w:ascii="StobiSansRegular" w:hAnsi="StobiSansRegular" w:cs="Times New Roman"/>
        </w:rPr>
        <w:t>Законот за заштита од јонизирачко зрачење и радијациона сигурност („Службен весник на Република  Македонија“ бр.48/02, 135/07, 53/1</w:t>
      </w:r>
      <w:r w:rsidR="00EB3BDE" w:rsidRPr="004C1FA7">
        <w:rPr>
          <w:rFonts w:ascii="StobiSansRegular" w:hAnsi="StobiSansRegular" w:cs="Times New Roman"/>
          <w:lang w:val="en-GB"/>
        </w:rPr>
        <w:t>1</w:t>
      </w:r>
      <w:r w:rsidR="00CA38AC" w:rsidRPr="004C1FA7">
        <w:rPr>
          <w:rFonts w:ascii="StobiSansRegular" w:hAnsi="StobiSansRegular" w:cs="Times New Roman"/>
        </w:rPr>
        <w:t>,</w:t>
      </w:r>
      <w:r w:rsidR="00EB3BDE" w:rsidRPr="004C1FA7">
        <w:rPr>
          <w:rFonts w:ascii="StobiSansRegular" w:hAnsi="StobiSansRegular" w:cs="Times New Roman"/>
          <w:lang w:val="en-GB"/>
        </w:rPr>
        <w:t xml:space="preserve"> 43/14, 164/13</w:t>
      </w:r>
      <w:r w:rsidR="00CA38AC" w:rsidRPr="004C1FA7">
        <w:rPr>
          <w:rFonts w:ascii="StobiSansRegular" w:hAnsi="StobiSansRegular" w:cs="Times New Roman"/>
        </w:rPr>
        <w:t xml:space="preserve"> )</w:t>
      </w:r>
      <w:r w:rsidRPr="004C1FA7">
        <w:rPr>
          <w:rFonts w:ascii="StobiSansRegular" w:hAnsi="StobiSansRegular" w:cs="Times New Roman"/>
        </w:rPr>
        <w:t xml:space="preserve"> </w:t>
      </w:r>
      <w:r w:rsidR="00EB3BDE" w:rsidRPr="004C1FA7">
        <w:rPr>
          <w:rFonts w:ascii="StobiSansRegular" w:hAnsi="StobiSansRegular" w:cs="Times New Roman"/>
        </w:rPr>
        <w:t>и Правилниците донесени врз основа на истиот</w:t>
      </w:r>
      <w:r w:rsidRPr="004C1FA7">
        <w:rPr>
          <w:rFonts w:ascii="StobiSansRegular" w:hAnsi="StobiSansRegular" w:cs="Times New Roman"/>
        </w:rPr>
        <w:t xml:space="preserve"> од страна на </w:t>
      </w:r>
      <w:r w:rsidR="00193B89" w:rsidRPr="004C1FA7">
        <w:rPr>
          <w:rFonts w:ascii="StobiSansRegular" w:hAnsi="StobiSansRegular" w:cs="Times New Roman"/>
        </w:rPr>
        <w:t>правните субјектите врз кои Дирекцијата за радијациона сигурност</w:t>
      </w:r>
      <w:r w:rsidRPr="004C1FA7">
        <w:rPr>
          <w:rFonts w:ascii="StobiSansRegular" w:hAnsi="StobiSansRegular" w:cs="Times New Roman"/>
        </w:rPr>
        <w:t xml:space="preserve"> врши инспекциски надзор. </w:t>
      </w:r>
    </w:p>
    <w:p w:rsidR="00F47978" w:rsidRDefault="00F47978" w:rsidP="00F47978">
      <w:pPr>
        <w:pStyle w:val="Obr-Tekst1"/>
        <w:rPr>
          <w:rFonts w:asciiTheme="minorHAnsi" w:hAnsiTheme="minorHAnsi"/>
        </w:rPr>
      </w:pPr>
      <w:r w:rsidRPr="004C1FA7">
        <w:rPr>
          <w:rFonts w:ascii="StobiSansRegular" w:hAnsi="StobiSansRegular"/>
        </w:rPr>
        <w:t>Проценката на ризикот е од особена важност од причина што ризикот  има директно влијае на опасноста и обемот на последиците по животот и здравјето на професионално изложените лица, населението и животната средина.</w:t>
      </w:r>
      <w:r>
        <w:rPr>
          <w:rFonts w:asciiTheme="minorHAnsi" w:hAnsiTheme="minorHAnsi"/>
        </w:rPr>
        <w:t xml:space="preserve"> </w:t>
      </w:r>
      <w:r w:rsidRPr="004C1FA7">
        <w:rPr>
          <w:rFonts w:ascii="StobiSansRegular" w:hAnsi="StobiSansRegular"/>
        </w:rPr>
        <w:t>Ризикот кој постои при вршењето на дејноста со извори на јонизирачко зрачење   е во директна корелација со видот на изворите на јонизирачко зра</w:t>
      </w:r>
      <w:r w:rsidR="006469E3">
        <w:rPr>
          <w:rFonts w:ascii="StobiSansRegular" w:hAnsi="StobiSansRegular"/>
        </w:rPr>
        <w:t>чење и нивната категоризација (</w:t>
      </w:r>
      <w:r w:rsidRPr="004C1FA7">
        <w:rPr>
          <w:rFonts w:ascii="StobiSansRegular" w:hAnsi="StobiSansRegular"/>
        </w:rPr>
        <w:t>радиоактивни извори кои можат да бидат отвор</w:t>
      </w:r>
      <w:r w:rsidR="00AC2305">
        <w:rPr>
          <w:rFonts w:ascii="StobiSansRegular" w:hAnsi="StobiSansRegular"/>
        </w:rPr>
        <w:t>ени или затворени и Генератори</w:t>
      </w:r>
      <w:r w:rsidRPr="004C1FA7">
        <w:rPr>
          <w:rFonts w:ascii="StobiSansRegular" w:hAnsi="StobiSansRegular"/>
        </w:rPr>
        <w:t xml:space="preserve"> на јонизирачк</w:t>
      </w:r>
      <w:r w:rsidRPr="004C1FA7">
        <w:rPr>
          <w:rFonts w:ascii="StobiSansRegular" w:hAnsi="StobiSansRegular"/>
          <w:lang w:val="en-US"/>
        </w:rPr>
        <w:t xml:space="preserve">o </w:t>
      </w:r>
      <w:r w:rsidRPr="004C1FA7">
        <w:rPr>
          <w:rFonts w:ascii="StobiSansRegular" w:hAnsi="StobiSansRegular"/>
        </w:rPr>
        <w:t xml:space="preserve">зрачење, бројот на професионално изложените лица кои се вклучени во вршењето на дејноста и нивните квалификации како </w:t>
      </w:r>
      <w:r w:rsidR="006469E3">
        <w:rPr>
          <w:rFonts w:ascii="StobiSansRegular" w:hAnsi="StobiSansRegular"/>
        </w:rPr>
        <w:t xml:space="preserve">и областа  во која се користат </w:t>
      </w:r>
      <w:r w:rsidR="006469E3">
        <w:rPr>
          <w:rFonts w:asciiTheme="minorHAnsi" w:hAnsiTheme="minorHAnsi"/>
        </w:rPr>
        <w:t>(</w:t>
      </w:r>
      <w:r w:rsidRPr="004C1FA7">
        <w:rPr>
          <w:rFonts w:ascii="StobiSansRegular" w:hAnsi="StobiSansRegular"/>
        </w:rPr>
        <w:t xml:space="preserve"> производство, дијагностика, терапија , индустриска радио</w:t>
      </w:r>
      <w:r w:rsidR="00AC2305">
        <w:rPr>
          <w:rFonts w:ascii="StobiSansRegular" w:hAnsi="StobiSansRegular"/>
        </w:rPr>
        <w:t xml:space="preserve">графија и индустриски </w:t>
      </w:r>
      <w:r w:rsidRPr="004C1FA7">
        <w:rPr>
          <w:rFonts w:ascii="StobiSansRegular" w:hAnsi="StobiSansRegular"/>
        </w:rPr>
        <w:t>мерачи, транспортот на радиоактивен материјал и управувањето со радиоактивен отпад.</w:t>
      </w:r>
    </w:p>
    <w:p w:rsidR="00E04CF2" w:rsidRPr="004C1FA7" w:rsidRDefault="00F47978" w:rsidP="00F47978">
      <w:pPr>
        <w:pStyle w:val="Obr-Tekst1"/>
        <w:rPr>
          <w:rFonts w:ascii="StobiSansRegular" w:hAnsi="StobiSansRegular"/>
        </w:rPr>
      </w:pPr>
      <w:r w:rsidRPr="00F47978">
        <w:rPr>
          <w:rFonts w:ascii="StobiSansRegular" w:hAnsi="StobiSansRegular"/>
        </w:rPr>
        <w:t>Во п</w:t>
      </w:r>
      <w:r w:rsidR="00193B89" w:rsidRPr="00F47978">
        <w:rPr>
          <w:rFonts w:ascii="StobiSansRegular" w:hAnsi="StobiSansRegular" w:cs="Times New Roman"/>
        </w:rPr>
        <w:t>роценката</w:t>
      </w:r>
      <w:r w:rsidR="006E53B4" w:rsidRPr="00F47978">
        <w:rPr>
          <w:rFonts w:ascii="StobiSansRegular" w:hAnsi="StobiSansRegular" w:cs="Times New Roman"/>
        </w:rPr>
        <w:t xml:space="preserve"> на ризиците</w:t>
      </w:r>
      <w:r w:rsidR="00193B89" w:rsidRPr="00F47978">
        <w:rPr>
          <w:rFonts w:ascii="StobiSansRegular" w:hAnsi="StobiSansRegular" w:cs="Times New Roman"/>
        </w:rPr>
        <w:t xml:space="preserve"> се </w:t>
      </w:r>
      <w:r w:rsidRPr="00F47978">
        <w:rPr>
          <w:rFonts w:ascii="StobiSansRegular" w:hAnsi="StobiSansRegular" w:cs="Times New Roman"/>
        </w:rPr>
        <w:t>користи и  стекнатото искуство од</w:t>
      </w:r>
      <w:r w:rsidR="00193B89" w:rsidRPr="00F47978">
        <w:rPr>
          <w:rFonts w:ascii="StobiSansRegular" w:hAnsi="StobiSansRegular" w:cs="Times New Roman"/>
        </w:rPr>
        <w:t xml:space="preserve"> долгогодишното в</w:t>
      </w:r>
      <w:r w:rsidR="006E53B4" w:rsidRPr="00F47978">
        <w:rPr>
          <w:rFonts w:ascii="StobiSansRegular" w:hAnsi="StobiSansRegular" w:cs="Times New Roman"/>
        </w:rPr>
        <w:t>ршење на инспекциски надзор</w:t>
      </w:r>
      <w:r w:rsidRPr="00F47978">
        <w:rPr>
          <w:rFonts w:ascii="StobiSansRegular" w:hAnsi="StobiSansRegular" w:cs="Times New Roman"/>
        </w:rPr>
        <w:t>и</w:t>
      </w:r>
      <w:r w:rsidR="006E53B4" w:rsidRPr="00F47978">
        <w:rPr>
          <w:rFonts w:ascii="StobiSansRegular" w:hAnsi="StobiSansRegular" w:cs="Times New Roman"/>
        </w:rPr>
        <w:t xml:space="preserve"> </w:t>
      </w:r>
      <w:r w:rsidR="00193B89" w:rsidRPr="00F47978">
        <w:rPr>
          <w:rFonts w:ascii="StobiSansRegular" w:hAnsi="StobiSansRegular" w:cs="Times New Roman"/>
        </w:rPr>
        <w:t>во минатото, во областите за кои е надлежна</w:t>
      </w:r>
      <w:r w:rsidR="00E4155B" w:rsidRPr="00F47978">
        <w:rPr>
          <w:rFonts w:ascii="StobiSansRegular" w:hAnsi="StobiSansRegular" w:cs="Times New Roman"/>
        </w:rPr>
        <w:t xml:space="preserve"> Дирекцијата</w:t>
      </w:r>
      <w:r w:rsidR="002765B8" w:rsidRPr="00F47978">
        <w:rPr>
          <w:rFonts w:ascii="StobiSansRegular" w:hAnsi="StobiSansRegular" w:cs="Times New Roman"/>
        </w:rPr>
        <w:t>,</w:t>
      </w:r>
      <w:r w:rsidR="006E53B4" w:rsidRPr="00F47978">
        <w:rPr>
          <w:rFonts w:ascii="StobiSansRegular" w:hAnsi="StobiSansRegular" w:cs="Times New Roman"/>
          <w:lang w:val="en-GB"/>
        </w:rPr>
        <w:t xml:space="preserve"> </w:t>
      </w:r>
      <w:r w:rsidR="006E53B4" w:rsidRPr="00F47978">
        <w:rPr>
          <w:rFonts w:ascii="StobiSansRegular" w:hAnsi="StobiSansRegular" w:cs="Times New Roman"/>
        </w:rPr>
        <w:t xml:space="preserve">Дополнително во проценката на ризикот се користат и други извори на информации </w:t>
      </w:r>
      <w:r w:rsidR="002765B8" w:rsidRPr="00F47978">
        <w:rPr>
          <w:rFonts w:ascii="StobiSansRegular" w:hAnsi="StobiSansRegular" w:cs="Times New Roman"/>
        </w:rPr>
        <w:t>и податоци за идентификув</w:t>
      </w:r>
      <w:r w:rsidR="00500B8D">
        <w:rPr>
          <w:rFonts w:ascii="StobiSansRegular" w:hAnsi="StobiSansRegular" w:cs="Times New Roman"/>
        </w:rPr>
        <w:t>ање, претставки, пријави, дојава</w:t>
      </w:r>
      <w:r w:rsidR="002765B8" w:rsidRPr="00F47978">
        <w:rPr>
          <w:rFonts w:ascii="StobiSansRegular" w:hAnsi="StobiSansRegular" w:cs="Times New Roman"/>
        </w:rPr>
        <w:t xml:space="preserve"> од правни и физички лица, ин</w:t>
      </w:r>
      <w:r w:rsidR="00494B8A" w:rsidRPr="00F47978">
        <w:rPr>
          <w:rFonts w:ascii="StobiSansRegular" w:hAnsi="StobiSansRegular" w:cs="Times New Roman"/>
        </w:rPr>
        <w:t>формации од други надлежни инспекторати и сл</w:t>
      </w:r>
      <w:r w:rsidR="00A06501" w:rsidRPr="00F47978">
        <w:rPr>
          <w:rFonts w:ascii="StobiSansRegular" w:hAnsi="StobiSansRegular" w:cs="Times New Roman"/>
        </w:rPr>
        <w:t>.</w:t>
      </w:r>
      <w:r w:rsidR="004E248D" w:rsidRPr="004C1FA7">
        <w:rPr>
          <w:rFonts w:ascii="StobiSansRegular" w:hAnsi="StobiSansRegular"/>
        </w:rPr>
        <w:t xml:space="preserve"> </w:t>
      </w:r>
      <w:r w:rsidR="00E04CF2" w:rsidRPr="004C1FA7">
        <w:rPr>
          <w:rFonts w:ascii="StobiSansRegular" w:hAnsi="StobiSansRegular"/>
        </w:rPr>
        <w:t xml:space="preserve"> </w:t>
      </w:r>
    </w:p>
    <w:p w:rsidR="00E04CF2" w:rsidRPr="00F47978" w:rsidRDefault="00E04CF2" w:rsidP="00E04CF2">
      <w:pPr>
        <w:spacing w:after="60" w:line="240" w:lineRule="auto"/>
        <w:ind w:left="547"/>
        <w:jc w:val="both"/>
        <w:rPr>
          <w:rFonts w:ascii="StobiSansRegular" w:hAnsi="StobiSansRegular" w:cs="Times New Roman"/>
        </w:rPr>
      </w:pPr>
      <w:r w:rsidRPr="00F47978">
        <w:rPr>
          <w:rFonts w:ascii="StobiSansRegular" w:hAnsi="StobiSansRegular" w:cs="Times New Roman"/>
        </w:rPr>
        <w:t>Потенцијални</w:t>
      </w:r>
      <w:r w:rsidR="00455295" w:rsidRPr="00F47978">
        <w:rPr>
          <w:rFonts w:ascii="StobiSansRegular" w:hAnsi="StobiSansRegular" w:cs="Times New Roman"/>
        </w:rPr>
        <w:t xml:space="preserve">те </w:t>
      </w:r>
      <w:r w:rsidRPr="00F47978">
        <w:rPr>
          <w:rFonts w:ascii="StobiSansRegular" w:hAnsi="StobiSansRegular" w:cs="Times New Roman"/>
        </w:rPr>
        <w:t>ризици кои можат да се појават во сите области каде се врши дејноста со изворите на јонизирачко зрачење како резултат на непочитување на прописите се</w:t>
      </w:r>
      <w:r w:rsidRPr="00F47978">
        <w:rPr>
          <w:rFonts w:ascii="StobiSansRegular" w:hAnsi="StobiSansRegular" w:cs="Times New Roman"/>
          <w:lang w:val="en-GB"/>
        </w:rPr>
        <w:t>:</w:t>
      </w:r>
    </w:p>
    <w:p w:rsidR="00E04CF2" w:rsidRPr="00F47978" w:rsidRDefault="00E04CF2" w:rsidP="00E04CF2">
      <w:pPr>
        <w:pStyle w:val="ListParagraph"/>
        <w:numPr>
          <w:ilvl w:val="0"/>
          <w:numId w:val="22"/>
        </w:numPr>
        <w:spacing w:after="60" w:line="240" w:lineRule="auto"/>
        <w:jc w:val="both"/>
        <w:rPr>
          <w:rFonts w:ascii="StobiSansRegular" w:hAnsi="StobiSansRegular" w:cs="Times New Roman"/>
        </w:rPr>
      </w:pPr>
      <w:r w:rsidRPr="00F47978">
        <w:rPr>
          <w:rFonts w:ascii="StobiSansRegular" w:hAnsi="StobiSansRegular" w:cs="Times New Roman"/>
        </w:rPr>
        <w:t>Опасност од зрачење – изложеност и потенцијална изложеност,</w:t>
      </w:r>
    </w:p>
    <w:p w:rsidR="00E04CF2" w:rsidRPr="00F47978" w:rsidRDefault="00E04CF2" w:rsidP="00E04CF2">
      <w:pPr>
        <w:pStyle w:val="ListParagraph"/>
        <w:numPr>
          <w:ilvl w:val="0"/>
          <w:numId w:val="22"/>
        </w:numPr>
        <w:spacing w:after="60" w:line="240" w:lineRule="auto"/>
        <w:jc w:val="both"/>
        <w:rPr>
          <w:rFonts w:ascii="StobiSansRegular" w:hAnsi="StobiSansRegular" w:cs="Times New Roman"/>
        </w:rPr>
      </w:pPr>
      <w:r w:rsidRPr="00F47978">
        <w:rPr>
          <w:rFonts w:ascii="StobiSansRegular" w:hAnsi="StobiSansRegular" w:cs="Times New Roman"/>
        </w:rPr>
        <w:t xml:space="preserve">Опасност од озраченост на </w:t>
      </w:r>
      <w:r w:rsidR="006469E3">
        <w:rPr>
          <w:rFonts w:ascii="StobiSansRegular" w:hAnsi="StobiSansRegular" w:cs="Times New Roman"/>
        </w:rPr>
        <w:t>професионално изложените лица (</w:t>
      </w:r>
      <w:r w:rsidRPr="00F47978">
        <w:rPr>
          <w:rFonts w:ascii="StobiSansRegular" w:hAnsi="StobiSansRegular" w:cs="Times New Roman"/>
        </w:rPr>
        <w:t>зголемена доза кај вработените),</w:t>
      </w:r>
    </w:p>
    <w:p w:rsidR="00E04CF2" w:rsidRPr="00F47978" w:rsidRDefault="00E04CF2" w:rsidP="00E04CF2">
      <w:pPr>
        <w:pStyle w:val="ListParagraph"/>
        <w:numPr>
          <w:ilvl w:val="0"/>
          <w:numId w:val="22"/>
        </w:numPr>
        <w:spacing w:after="60" w:line="240" w:lineRule="auto"/>
        <w:jc w:val="both"/>
        <w:rPr>
          <w:rFonts w:ascii="StobiSansRegular" w:hAnsi="StobiSansRegular" w:cs="Times New Roman"/>
        </w:rPr>
      </w:pPr>
      <w:r w:rsidRPr="00F47978">
        <w:rPr>
          <w:rFonts w:ascii="StobiSansRegular" w:hAnsi="StobiSansRegular" w:cs="Times New Roman"/>
        </w:rPr>
        <w:t>Опасно</w:t>
      </w:r>
      <w:r w:rsidR="00AC2305">
        <w:rPr>
          <w:rFonts w:ascii="StobiSansRegular" w:hAnsi="StobiSansRegular" w:cs="Times New Roman"/>
        </w:rPr>
        <w:t>ст од озрачување на пациентите(</w:t>
      </w:r>
      <w:r w:rsidRPr="00F47978">
        <w:rPr>
          <w:rFonts w:ascii="StobiSansRegular" w:hAnsi="StobiSansRegular" w:cs="Times New Roman"/>
        </w:rPr>
        <w:t>примена поголема доза кај пациентот кој е подвргнат на дија</w:t>
      </w:r>
      <w:r w:rsidR="00500B8D">
        <w:rPr>
          <w:rFonts w:ascii="StobiSansRegular" w:hAnsi="StobiSansRegular" w:cs="Times New Roman"/>
        </w:rPr>
        <w:t>г</w:t>
      </w:r>
      <w:r w:rsidRPr="00F47978">
        <w:rPr>
          <w:rFonts w:ascii="StobiSansRegular" w:hAnsi="StobiSansRegular" w:cs="Times New Roman"/>
        </w:rPr>
        <w:t>ностичка или терапевтска пост</w:t>
      </w:r>
      <w:r w:rsidR="00500B8D">
        <w:rPr>
          <w:rFonts w:ascii="StobiSansRegular" w:hAnsi="StobiSansRegular" w:cs="Times New Roman"/>
        </w:rPr>
        <w:t>а</w:t>
      </w:r>
      <w:r w:rsidRPr="00F47978">
        <w:rPr>
          <w:rFonts w:ascii="StobiSansRegular" w:hAnsi="StobiSansRegular" w:cs="Times New Roman"/>
        </w:rPr>
        <w:t>пка со</w:t>
      </w:r>
      <w:r w:rsidR="006469E3">
        <w:rPr>
          <w:rFonts w:asciiTheme="minorHAnsi" w:hAnsiTheme="minorHAnsi" w:cs="Times New Roman"/>
        </w:rPr>
        <w:t xml:space="preserve"> </w:t>
      </w:r>
      <w:r w:rsidR="006469E3" w:rsidRPr="006469E3">
        <w:rPr>
          <w:rFonts w:ascii="StobiSansRegular" w:hAnsi="StobiSansRegular" w:cs="Times New Roman"/>
        </w:rPr>
        <w:t>јонизирачко зрачење</w:t>
      </w:r>
      <w:r w:rsidR="00AC2305">
        <w:rPr>
          <w:rFonts w:ascii="StobiSansRegular" w:hAnsi="StobiSansRegular" w:cs="Times New Roman"/>
        </w:rPr>
        <w:t>)</w:t>
      </w:r>
      <w:r w:rsidRPr="00F47978">
        <w:rPr>
          <w:rFonts w:ascii="StobiSansRegular" w:hAnsi="StobiSansRegular" w:cs="Times New Roman"/>
        </w:rPr>
        <w:t>,</w:t>
      </w:r>
    </w:p>
    <w:p w:rsidR="00E04CF2" w:rsidRPr="00F47978" w:rsidRDefault="00E04CF2" w:rsidP="00E04CF2">
      <w:pPr>
        <w:pStyle w:val="ListParagraph"/>
        <w:numPr>
          <w:ilvl w:val="0"/>
          <w:numId w:val="22"/>
        </w:numPr>
        <w:spacing w:after="60" w:line="240" w:lineRule="auto"/>
        <w:jc w:val="both"/>
        <w:rPr>
          <w:rFonts w:ascii="StobiSansRegular" w:hAnsi="StobiSansRegular" w:cs="Times New Roman"/>
        </w:rPr>
      </w:pPr>
      <w:r w:rsidRPr="00F47978">
        <w:rPr>
          <w:rFonts w:ascii="StobiSansRegular" w:hAnsi="StobiSansRegular" w:cs="Times New Roman"/>
        </w:rPr>
        <w:t>Опасност од контаминација,</w:t>
      </w:r>
    </w:p>
    <w:p w:rsidR="00E04CF2" w:rsidRPr="00F47978" w:rsidRDefault="00E04CF2" w:rsidP="00F47978">
      <w:pPr>
        <w:pStyle w:val="ListParagraph"/>
        <w:numPr>
          <w:ilvl w:val="0"/>
          <w:numId w:val="22"/>
        </w:numPr>
        <w:spacing w:after="60" w:line="240" w:lineRule="auto"/>
        <w:jc w:val="both"/>
        <w:rPr>
          <w:rFonts w:ascii="StobiSansRegular" w:hAnsi="StobiSansRegular" w:cs="Times New Roman"/>
          <w:lang w:val="en-GB"/>
        </w:rPr>
      </w:pPr>
      <w:r w:rsidRPr="00F47978">
        <w:rPr>
          <w:rFonts w:ascii="StobiSansRegular" w:hAnsi="StobiSansRegular" w:cs="Times New Roman"/>
        </w:rPr>
        <w:t>Опасност на губење на радиоактивниот извор,</w:t>
      </w:r>
    </w:p>
    <w:p w:rsidR="002818AD" w:rsidRDefault="002818AD" w:rsidP="00494B8A">
      <w:pPr>
        <w:spacing w:after="60" w:line="240" w:lineRule="auto"/>
        <w:ind w:firstLine="547"/>
        <w:jc w:val="both"/>
        <w:rPr>
          <w:rFonts w:ascii="StobiSans Regular" w:hAnsi="StobiSans Regular" w:cs="Times New Roman"/>
          <w:lang w:val="en-GB"/>
        </w:rPr>
      </w:pPr>
      <w:r>
        <w:rPr>
          <w:rFonts w:ascii="StobiSans Regular" w:hAnsi="StobiSans Regular" w:cs="Times New Roman"/>
        </w:rPr>
        <w:t>Ризикот</w:t>
      </w:r>
      <w:r w:rsidR="00195E0D">
        <w:rPr>
          <w:rFonts w:ascii="StobiSans Regular" w:hAnsi="StobiSans Regular" w:cs="Times New Roman"/>
        </w:rPr>
        <w:t xml:space="preserve">, согласно донесената Методологија , а </w:t>
      </w:r>
      <w:r>
        <w:rPr>
          <w:rFonts w:ascii="StobiSans Regular" w:hAnsi="StobiSans Regular" w:cs="Times New Roman"/>
        </w:rPr>
        <w:t xml:space="preserve">во зависност од </w:t>
      </w:r>
      <w:r w:rsidR="0031186C">
        <w:rPr>
          <w:rFonts w:ascii="StobiSans Regular" w:hAnsi="StobiSans Regular" w:cs="Times New Roman"/>
        </w:rPr>
        <w:t xml:space="preserve">соодносот на </w:t>
      </w:r>
      <w:r w:rsidR="00195E0D">
        <w:rPr>
          <w:rFonts w:ascii="StobiSans Regular" w:hAnsi="StobiSans Regular" w:cs="Times New Roman"/>
        </w:rPr>
        <w:t xml:space="preserve">степенот на тежината на </w:t>
      </w:r>
      <w:r>
        <w:rPr>
          <w:rFonts w:ascii="StobiSans Regular" w:hAnsi="StobiSans Regular" w:cs="Times New Roman"/>
        </w:rPr>
        <w:t>штетните последици и веројатноста на нивната појава се степенува во</w:t>
      </w:r>
      <w:r>
        <w:rPr>
          <w:rFonts w:ascii="StobiSans Regular" w:hAnsi="StobiSans Regular" w:cs="Times New Roman"/>
          <w:lang w:val="en-GB"/>
        </w:rPr>
        <w:t xml:space="preserve"> :</w:t>
      </w:r>
    </w:p>
    <w:p w:rsidR="002818AD" w:rsidRDefault="004D432F" w:rsidP="004D432F">
      <w:pPr>
        <w:pStyle w:val="ListParagraph"/>
        <w:numPr>
          <w:ilvl w:val="0"/>
          <w:numId w:val="23"/>
        </w:numPr>
        <w:spacing w:after="60" w:line="240" w:lineRule="auto"/>
        <w:jc w:val="both"/>
        <w:rPr>
          <w:rFonts w:ascii="StobiSans Regular" w:hAnsi="StobiSans Regular" w:cs="Times New Roman"/>
          <w:lang w:val="en-GB"/>
        </w:rPr>
      </w:pPr>
      <w:r>
        <w:rPr>
          <w:rFonts w:ascii="StobiSans Regular" w:hAnsi="StobiSans Regular" w:cs="Times New Roman"/>
        </w:rPr>
        <w:t>Низок ризик,</w:t>
      </w:r>
    </w:p>
    <w:p w:rsidR="004D432F" w:rsidRPr="004D432F" w:rsidRDefault="004D432F" w:rsidP="004D432F">
      <w:pPr>
        <w:pStyle w:val="ListParagraph"/>
        <w:numPr>
          <w:ilvl w:val="0"/>
          <w:numId w:val="23"/>
        </w:numPr>
        <w:spacing w:after="60" w:line="240" w:lineRule="auto"/>
        <w:jc w:val="both"/>
        <w:rPr>
          <w:rFonts w:ascii="StobiSans Regular" w:hAnsi="StobiSans Regular" w:cs="Times New Roman"/>
          <w:lang w:val="en-GB"/>
        </w:rPr>
      </w:pPr>
      <w:r>
        <w:rPr>
          <w:rFonts w:ascii="StobiSans Regular" w:hAnsi="StobiSans Regular" w:cs="Times New Roman"/>
        </w:rPr>
        <w:t xml:space="preserve">Среден ризик и </w:t>
      </w:r>
    </w:p>
    <w:p w:rsidR="004D432F" w:rsidRPr="00341291" w:rsidRDefault="004D432F" w:rsidP="004D432F">
      <w:pPr>
        <w:pStyle w:val="ListParagraph"/>
        <w:numPr>
          <w:ilvl w:val="0"/>
          <w:numId w:val="23"/>
        </w:numPr>
        <w:spacing w:after="60" w:line="240" w:lineRule="auto"/>
        <w:jc w:val="both"/>
        <w:rPr>
          <w:rFonts w:ascii="StobiSans Regular" w:hAnsi="StobiSans Regular" w:cs="Times New Roman"/>
          <w:lang w:val="en-GB"/>
        </w:rPr>
      </w:pPr>
      <w:r>
        <w:rPr>
          <w:rFonts w:ascii="StobiSans Regular" w:hAnsi="StobiSans Regular" w:cs="Times New Roman"/>
        </w:rPr>
        <w:t>Висок ризик</w:t>
      </w:r>
      <w:r w:rsidR="000F443E">
        <w:rPr>
          <w:rFonts w:ascii="StobiSans Regular" w:hAnsi="StobiSans Regular" w:cs="Times New Roman"/>
        </w:rPr>
        <w:t>.</w:t>
      </w:r>
    </w:p>
    <w:p w:rsidR="00341291" w:rsidRPr="00BC6A86" w:rsidRDefault="00341291" w:rsidP="00500B8D">
      <w:pPr>
        <w:spacing w:after="60" w:line="240" w:lineRule="auto"/>
        <w:ind w:left="547"/>
        <w:rPr>
          <w:rFonts w:ascii="StobiSans Regular" w:hAnsi="StobiSans Regular" w:cs="Times New Roman"/>
        </w:rPr>
      </w:pPr>
      <w:r w:rsidRPr="00BC6A86">
        <w:rPr>
          <w:rFonts w:ascii="StobiSans Regular" w:hAnsi="StobiSans Regular" w:cs="Times New Roman"/>
        </w:rPr>
        <w:t>Градацијата на ризици</w:t>
      </w:r>
      <w:r w:rsidR="00552974">
        <w:rPr>
          <w:rFonts w:ascii="StobiSans Regular" w:hAnsi="StobiSans Regular" w:cs="Times New Roman"/>
        </w:rPr>
        <w:t>те</w:t>
      </w:r>
      <w:r w:rsidRPr="00BC6A86">
        <w:rPr>
          <w:rFonts w:ascii="StobiSans Regular" w:hAnsi="StobiSans Regular" w:cs="Times New Roman"/>
        </w:rPr>
        <w:t xml:space="preserve"> изработена врз база на анализа на </w:t>
      </w:r>
      <w:r w:rsidR="00552974">
        <w:rPr>
          <w:rFonts w:ascii="StobiSans Regular" w:hAnsi="StobiSans Regular" w:cs="Times New Roman"/>
        </w:rPr>
        <w:t xml:space="preserve">сите </w:t>
      </w:r>
      <w:r w:rsidRPr="00BC6A86">
        <w:rPr>
          <w:rFonts w:ascii="StobiSans Regular" w:hAnsi="StobiSans Regular" w:cs="Times New Roman"/>
        </w:rPr>
        <w:t xml:space="preserve">податоците </w:t>
      </w:r>
      <w:r w:rsidR="00500B8D">
        <w:rPr>
          <w:rFonts w:ascii="StobiSans Regular" w:hAnsi="StobiSans Regular" w:cs="Times New Roman"/>
        </w:rPr>
        <w:t xml:space="preserve">кои се однесуваат и </w:t>
      </w:r>
      <w:r w:rsidR="00552974">
        <w:rPr>
          <w:rFonts w:ascii="StobiSans Regular" w:hAnsi="StobiSans Regular" w:cs="Times New Roman"/>
        </w:rPr>
        <w:t>при</w:t>
      </w:r>
      <w:r w:rsidR="00500B8D">
        <w:rPr>
          <w:rFonts w:ascii="StobiSans Regular" w:hAnsi="StobiSans Regular" w:cs="Times New Roman"/>
        </w:rPr>
        <w:t>до</w:t>
      </w:r>
      <w:r w:rsidR="00552974">
        <w:rPr>
          <w:rFonts w:ascii="StobiSans Regular" w:hAnsi="StobiSans Regular" w:cs="Times New Roman"/>
        </w:rPr>
        <w:t xml:space="preserve">несуваат </w:t>
      </w:r>
      <w:r w:rsidR="009B4BAF">
        <w:rPr>
          <w:rFonts w:ascii="StobiSans Regular" w:hAnsi="StobiSans Regular" w:cs="Times New Roman"/>
        </w:rPr>
        <w:t>за</w:t>
      </w:r>
      <w:r w:rsidR="00552974">
        <w:rPr>
          <w:rFonts w:ascii="StobiSans Regular" w:hAnsi="StobiSans Regular" w:cs="Times New Roman"/>
        </w:rPr>
        <w:t xml:space="preserve"> појавата на истите </w:t>
      </w:r>
      <w:r w:rsidRPr="00BC6A86">
        <w:rPr>
          <w:rFonts w:ascii="StobiSans Regular" w:hAnsi="StobiSans Regular" w:cs="Times New Roman"/>
        </w:rPr>
        <w:t>е основен критер</w:t>
      </w:r>
      <w:r w:rsidR="00552974">
        <w:rPr>
          <w:rFonts w:ascii="StobiSans Regular" w:hAnsi="StobiSans Regular" w:cs="Times New Roman"/>
        </w:rPr>
        <w:t xml:space="preserve">иум при планирање на надзорите. Класификацијата на ризиците според висината на степенот и аналогно на тоа и големината на предизвиканите штетните последици </w:t>
      </w:r>
      <w:r w:rsidRPr="00BC6A86">
        <w:rPr>
          <w:rFonts w:ascii="StobiSans Regular" w:hAnsi="StobiSans Regular" w:cs="Times New Roman"/>
        </w:rPr>
        <w:t xml:space="preserve"> ќе овозможи правилно насочување на инспекциските активности со цел минимизирање на штетите предизвикани од непочитување на законските прописи.  </w:t>
      </w:r>
    </w:p>
    <w:p w:rsidR="00255808" w:rsidRDefault="00510ADA" w:rsidP="00500B8D">
      <w:pPr>
        <w:pStyle w:val="BodyText"/>
        <w:spacing w:after="60"/>
        <w:ind w:firstLine="562"/>
        <w:jc w:val="left"/>
        <w:rPr>
          <w:rFonts w:cs="Times New Roman"/>
        </w:rPr>
      </w:pPr>
      <w:r>
        <w:rPr>
          <w:rFonts w:cs="Times New Roman"/>
        </w:rPr>
        <w:lastRenderedPageBreak/>
        <w:t>Проценетиот степенот на ризик</w:t>
      </w:r>
      <w:r w:rsidR="00255808">
        <w:rPr>
          <w:rFonts w:cs="Times New Roman"/>
        </w:rPr>
        <w:t xml:space="preserve"> кај секој еден правен субјект </w:t>
      </w:r>
      <w:r>
        <w:rPr>
          <w:rFonts w:cs="Times New Roman"/>
        </w:rPr>
        <w:t xml:space="preserve"> е одлучувачки фактор во одредувањето на фреквенцијата на надзорит</w:t>
      </w:r>
      <w:r w:rsidR="00255808">
        <w:rPr>
          <w:rFonts w:cs="Times New Roman"/>
        </w:rPr>
        <w:t>е, со што ќе се влијае на отстранување на неправилностите во работата.</w:t>
      </w:r>
    </w:p>
    <w:p w:rsidR="00341291" w:rsidRDefault="00255808" w:rsidP="00500B8D">
      <w:pPr>
        <w:pStyle w:val="BodyText"/>
        <w:spacing w:after="60"/>
        <w:ind w:firstLine="562"/>
        <w:jc w:val="left"/>
        <w:rPr>
          <w:rFonts w:cs="Times New Roman"/>
        </w:rPr>
      </w:pPr>
      <w:r w:rsidRPr="001145FF">
        <w:rPr>
          <w:rFonts w:cs="Times New Roman"/>
        </w:rPr>
        <w:t xml:space="preserve"> </w:t>
      </w:r>
      <w:r w:rsidR="00341291" w:rsidRPr="001145FF">
        <w:rPr>
          <w:rFonts w:cs="Times New Roman"/>
        </w:rPr>
        <w:t>Квалитетот на планот е во директна корелација со квалитетот на проценката на ризиците.</w:t>
      </w:r>
    </w:p>
    <w:p w:rsidR="00F66287" w:rsidRDefault="009B4BAF" w:rsidP="00500B8D">
      <w:pPr>
        <w:pStyle w:val="Obr-Tekst1"/>
        <w:jc w:val="left"/>
        <w:rPr>
          <w:lang w:val="en-GB"/>
        </w:rPr>
      </w:pPr>
      <w:r>
        <w:t xml:space="preserve">Методологијата на проценка на ризик </w:t>
      </w:r>
      <w:r w:rsidR="005E4A8E">
        <w:t xml:space="preserve">врз основа на </w:t>
      </w:r>
      <w:r w:rsidR="00500B8D">
        <w:t xml:space="preserve"> сеопфат</w:t>
      </w:r>
      <w:r>
        <w:t>н</w:t>
      </w:r>
      <w:r w:rsidR="005E4A8E">
        <w:t>иот</w:t>
      </w:r>
      <w:r>
        <w:t xml:space="preserve"> приказ на сите </w:t>
      </w:r>
      <w:r w:rsidR="005E4A8E">
        <w:t>ризични области, веројатноста од појава на ризикот и неговите последиците дава насоки за фреквенцијата на инспекциски надзор за секој</w:t>
      </w:r>
      <w:r w:rsidR="00F66287">
        <w:t xml:space="preserve"> правен субјект</w:t>
      </w:r>
      <w:r w:rsidR="00F66287">
        <w:rPr>
          <w:lang w:val="en-GB"/>
        </w:rPr>
        <w:t>.</w:t>
      </w:r>
      <w:r w:rsidR="00500B8D">
        <w:t xml:space="preserve"> </w:t>
      </w:r>
      <w:r w:rsidR="00F66287">
        <w:t xml:space="preserve">Согласно извршеното степенување на ризикот во  Методологијата утврдено е </w:t>
      </w:r>
      <w:r w:rsidR="00F66287">
        <w:rPr>
          <w:lang w:val="en-GB"/>
        </w:rPr>
        <w:t>:</w:t>
      </w:r>
    </w:p>
    <w:p w:rsidR="00F66287" w:rsidRDefault="00F66287" w:rsidP="00500B8D">
      <w:pPr>
        <w:pStyle w:val="Obr-Tekst1"/>
        <w:numPr>
          <w:ilvl w:val="0"/>
          <w:numId w:val="23"/>
        </w:numPr>
        <w:jc w:val="left"/>
      </w:pPr>
      <w:r>
        <w:t>Правните лица кои се со висок ризик да бидат предмет на најмалку 1 инспекциски надзор во текот на 1 календарска година,</w:t>
      </w:r>
    </w:p>
    <w:p w:rsidR="00F66287" w:rsidRDefault="00F66287" w:rsidP="00500B8D">
      <w:pPr>
        <w:pStyle w:val="Obr-Tekst1"/>
        <w:numPr>
          <w:ilvl w:val="0"/>
          <w:numId w:val="23"/>
        </w:numPr>
        <w:jc w:val="left"/>
      </w:pPr>
      <w:r>
        <w:t>Правните лица кои се со среден ризик – најмалку 1 инспекциски надзор во текот на 2 календарски години  и</w:t>
      </w:r>
    </w:p>
    <w:p w:rsidR="0027116B" w:rsidRDefault="00F66287" w:rsidP="00500B8D">
      <w:pPr>
        <w:pStyle w:val="Obr-Tekst1"/>
        <w:numPr>
          <w:ilvl w:val="0"/>
          <w:numId w:val="23"/>
        </w:numPr>
        <w:jc w:val="left"/>
      </w:pPr>
      <w:r>
        <w:t xml:space="preserve">Правните лица со низок ризик- најмалку 1 инспекциски надзор во </w:t>
      </w:r>
      <w:r w:rsidR="000E2C48">
        <w:t>текот на 4 или 5 години,</w:t>
      </w:r>
      <w:r w:rsidR="0027116B">
        <w:t xml:space="preserve"> </w:t>
      </w:r>
    </w:p>
    <w:p w:rsidR="00C243E3" w:rsidRDefault="00C243E3" w:rsidP="00500B8D">
      <w:pPr>
        <w:pStyle w:val="Obr-Tekst1"/>
        <w:ind w:left="547" w:firstLine="0"/>
        <w:jc w:val="left"/>
      </w:pPr>
      <w:r>
        <w:t>По извршената анализа на ризик, согласно Методологијата во 20212 година планирани се 69 инспекциски надзори кај правни лица со висок степен на ризик, 64 надзори кај правни лица со среден степен на ризик и 24 кај правни лица со низок степен на ризик.</w:t>
      </w:r>
    </w:p>
    <w:p w:rsidR="00E4155B" w:rsidRDefault="000E2C48" w:rsidP="00C243E3">
      <w:pPr>
        <w:pStyle w:val="Obr-Tekst1"/>
        <w:ind w:left="547" w:firstLine="0"/>
      </w:pPr>
      <w:r>
        <w:t xml:space="preserve">Фреквенцијата на инспекциските надзори дадени во Методологијата </w:t>
      </w:r>
      <w:r w:rsidR="00E04CF2">
        <w:t xml:space="preserve">понатаму </w:t>
      </w:r>
      <w:r>
        <w:t>можат да претрпат</w:t>
      </w:r>
      <w:r w:rsidR="00E04CF2">
        <w:t xml:space="preserve"> соодветни корекции во зависност од</w:t>
      </w:r>
      <w:r w:rsidR="00E04CF2">
        <w:rPr>
          <w:lang w:val="en-US"/>
        </w:rPr>
        <w:t xml:space="preserve"> </w:t>
      </w:r>
      <w:r w:rsidR="00E04CF2">
        <w:t xml:space="preserve">работата на  правните субјекти  односно од бројот на управните мерки кои биле превземени во периодот од последните три години. </w:t>
      </w:r>
    </w:p>
    <w:p w:rsidR="009C67C9" w:rsidRDefault="00494B8A" w:rsidP="00500B8D">
      <w:pPr>
        <w:spacing w:after="60" w:line="240" w:lineRule="auto"/>
        <w:ind w:firstLine="547"/>
        <w:rPr>
          <w:rFonts w:ascii="StobiSans Regular" w:hAnsi="StobiSans Regular" w:cs="Times New Roman"/>
        </w:rPr>
      </w:pPr>
      <w:r w:rsidRPr="00494B8A">
        <w:rPr>
          <w:rFonts w:cs="Times New Roman"/>
        </w:rPr>
        <w:t xml:space="preserve"> </w:t>
      </w:r>
      <w:r w:rsidRPr="00ED7003">
        <w:rPr>
          <w:rFonts w:ascii="StobiSans Regular" w:hAnsi="StobiSans Regular" w:cs="Times New Roman"/>
        </w:rPr>
        <w:t xml:space="preserve">Доколку се сменат околностите врз основа на кои е направена проценката наризикот, инспекциската служба ќе изврши ревизија на проценката на ризикот, која ќе биде земена предвид при подготвувањето на плановите за работа на инспекциската служба. </w:t>
      </w:r>
      <w:r w:rsidR="002765B8" w:rsidRPr="00ED7003">
        <w:rPr>
          <w:rFonts w:ascii="StobiSans Regular" w:hAnsi="StobiSans Regular" w:cs="Times New Roman"/>
        </w:rPr>
        <w:t xml:space="preserve"> </w:t>
      </w:r>
    </w:p>
    <w:p w:rsidR="00C243E3" w:rsidRPr="00ED7003" w:rsidRDefault="00C243E3" w:rsidP="00C243E3">
      <w:pPr>
        <w:spacing w:after="60" w:line="240" w:lineRule="auto"/>
        <w:ind w:firstLine="547"/>
        <w:jc w:val="both"/>
        <w:rPr>
          <w:lang w:val="en-US"/>
        </w:rPr>
      </w:pPr>
    </w:p>
    <w:p w:rsidR="00531C7C" w:rsidRPr="004C1FA7" w:rsidRDefault="00EB5379" w:rsidP="00D83538">
      <w:pPr>
        <w:pStyle w:val="Obr-Tekst1"/>
        <w:ind w:left="720" w:firstLine="0"/>
      </w:pPr>
      <w:r w:rsidRPr="004C1FA7">
        <w:t xml:space="preserve">Организација </w:t>
      </w:r>
      <w:r w:rsidR="00531C7C" w:rsidRPr="004C1FA7">
        <w:t>и раководење</w:t>
      </w:r>
    </w:p>
    <w:p w:rsidR="00732F87" w:rsidRPr="004C1FA7" w:rsidRDefault="00732F87" w:rsidP="00732F87">
      <w:pPr>
        <w:pStyle w:val="Obr-Tekst1"/>
      </w:pPr>
      <w:r w:rsidRPr="004C1FA7">
        <w:t>Дирекцијата за радијациона сигурност е самостоен орган на државната управа кој врши контрола на системот за безбедност на сите извори на јонизирачко зрачење. Со Дирекцијата управува Директор кој е назначен од претседателот на Владата и за својата работа одговара пред него.</w:t>
      </w:r>
    </w:p>
    <w:p w:rsidR="00ED7003" w:rsidRPr="004C1FA7" w:rsidRDefault="00732F87" w:rsidP="00732F87">
      <w:pPr>
        <w:pStyle w:val="Obr-Tekst1"/>
        <w:rPr>
          <w:lang w:val="en-GB"/>
        </w:rPr>
      </w:pPr>
      <w:r w:rsidRPr="004C1FA7">
        <w:t>Дирекцијата нема претрпено измена во својата организациона структура  и своите функции г</w:t>
      </w:r>
      <w:r w:rsidR="00ED7003" w:rsidRPr="004C1FA7">
        <w:t xml:space="preserve">и извршува преку 5 одделенија </w:t>
      </w:r>
    </w:p>
    <w:p w:rsidR="00ED7003" w:rsidRPr="004C1FA7" w:rsidRDefault="00ED7003" w:rsidP="00500B8D">
      <w:pPr>
        <w:pStyle w:val="Obr-Tekst1"/>
        <w:numPr>
          <w:ilvl w:val="0"/>
          <w:numId w:val="24"/>
        </w:numPr>
        <w:jc w:val="left"/>
        <w:rPr>
          <w:lang w:val="en-GB"/>
        </w:rPr>
      </w:pPr>
      <w:r w:rsidRPr="004C1FA7">
        <w:rPr>
          <w:lang w:val="en-GB"/>
        </w:rPr>
        <w:t>O</w:t>
      </w:r>
      <w:r w:rsidR="00732F87" w:rsidRPr="004C1FA7">
        <w:t>дд</w:t>
      </w:r>
      <w:r w:rsidRPr="004C1FA7">
        <w:t xml:space="preserve">еление за човечки ресурси (1), </w:t>
      </w:r>
    </w:p>
    <w:p w:rsidR="00ED7003" w:rsidRPr="004C1FA7" w:rsidRDefault="00ED7003" w:rsidP="00500B8D">
      <w:pPr>
        <w:pStyle w:val="Obr-Tekst1"/>
        <w:numPr>
          <w:ilvl w:val="0"/>
          <w:numId w:val="23"/>
        </w:numPr>
        <w:jc w:val="left"/>
      </w:pPr>
      <w:r w:rsidRPr="004C1FA7">
        <w:rPr>
          <w:lang w:val="en-GB"/>
        </w:rPr>
        <w:t>O</w:t>
      </w:r>
      <w:r w:rsidR="00732F87" w:rsidRPr="004C1FA7">
        <w:t>дделение за меѓународно прав</w:t>
      </w:r>
      <w:r w:rsidRPr="004C1FA7">
        <w:t xml:space="preserve">о и нормативни работи (3), </w:t>
      </w:r>
    </w:p>
    <w:p w:rsidR="00ED7003" w:rsidRPr="004C1FA7" w:rsidRDefault="00ED7003" w:rsidP="00500B8D">
      <w:pPr>
        <w:pStyle w:val="Obr-Tekst1"/>
        <w:numPr>
          <w:ilvl w:val="0"/>
          <w:numId w:val="23"/>
        </w:numPr>
        <w:jc w:val="left"/>
      </w:pPr>
      <w:r w:rsidRPr="004C1FA7">
        <w:rPr>
          <w:lang w:val="en-GB"/>
        </w:rPr>
        <w:t>O</w:t>
      </w:r>
      <w:r w:rsidR="00732F87" w:rsidRPr="004C1FA7">
        <w:t>дделение за финансиско работење</w:t>
      </w:r>
      <w:r w:rsidRPr="004C1FA7">
        <w:rPr>
          <w:lang w:val="en-GB"/>
        </w:rPr>
        <w:t xml:space="preserve"> </w:t>
      </w:r>
      <w:r w:rsidR="00732F87" w:rsidRPr="004C1FA7">
        <w:t xml:space="preserve">(1), </w:t>
      </w:r>
    </w:p>
    <w:p w:rsidR="00ED7003" w:rsidRPr="004C1FA7" w:rsidRDefault="00ED7003" w:rsidP="00500B8D">
      <w:pPr>
        <w:pStyle w:val="Obr-Tekst1"/>
        <w:numPr>
          <w:ilvl w:val="0"/>
          <w:numId w:val="23"/>
        </w:numPr>
        <w:jc w:val="left"/>
      </w:pPr>
      <w:r w:rsidRPr="004C1FA7">
        <w:lastRenderedPageBreak/>
        <w:t>Од</w:t>
      </w:r>
      <w:r w:rsidR="00732F87" w:rsidRPr="004C1FA7">
        <w:t xml:space="preserve">деление за </w:t>
      </w:r>
      <w:r w:rsidR="00DB57FB" w:rsidRPr="004C1FA7">
        <w:t xml:space="preserve">мониторинг и вонредни настани (0), </w:t>
      </w:r>
    </w:p>
    <w:p w:rsidR="00ED7003" w:rsidRPr="004C1FA7" w:rsidRDefault="00ED7003" w:rsidP="00500B8D">
      <w:pPr>
        <w:pStyle w:val="Obr-Tekst1"/>
        <w:numPr>
          <w:ilvl w:val="0"/>
          <w:numId w:val="23"/>
        </w:numPr>
        <w:jc w:val="left"/>
      </w:pPr>
      <w:r w:rsidRPr="004C1FA7">
        <w:t>О</w:t>
      </w:r>
      <w:r w:rsidR="00DB57FB" w:rsidRPr="004C1FA7">
        <w:t>дделение за лиценцирање</w:t>
      </w:r>
      <w:r w:rsidRPr="004C1FA7">
        <w:t xml:space="preserve"> и дозволи </w:t>
      </w:r>
      <w:r w:rsidR="00DB57FB" w:rsidRPr="004C1FA7">
        <w:t>(2</w:t>
      </w:r>
      <w:r w:rsidR="00732F87" w:rsidRPr="004C1FA7">
        <w:t xml:space="preserve">) и </w:t>
      </w:r>
    </w:p>
    <w:p w:rsidR="00ED7003" w:rsidRPr="004C1FA7" w:rsidRDefault="00ED7003" w:rsidP="00500B8D">
      <w:pPr>
        <w:pStyle w:val="Obr-Tekst1"/>
        <w:numPr>
          <w:ilvl w:val="0"/>
          <w:numId w:val="23"/>
        </w:numPr>
        <w:jc w:val="left"/>
      </w:pPr>
      <w:r w:rsidRPr="004C1FA7">
        <w:t>О</w:t>
      </w:r>
      <w:r w:rsidR="00732F87" w:rsidRPr="004C1FA7">
        <w:t xml:space="preserve">дделение за </w:t>
      </w:r>
      <w:r w:rsidR="00DB57FB" w:rsidRPr="004C1FA7">
        <w:t xml:space="preserve">инспекциски надзор (2).  </w:t>
      </w:r>
    </w:p>
    <w:p w:rsidR="00732F87" w:rsidRPr="004C1FA7" w:rsidRDefault="00DB57FB" w:rsidP="00500B8D">
      <w:pPr>
        <w:pStyle w:val="Obr-Tekst1"/>
        <w:ind w:left="547" w:firstLine="0"/>
        <w:jc w:val="left"/>
      </w:pPr>
      <w:r w:rsidRPr="004C1FA7">
        <w:t>Во 20</w:t>
      </w:r>
      <w:r w:rsidRPr="004C1FA7">
        <w:rPr>
          <w:lang w:val="en-GB"/>
        </w:rPr>
        <w:t>20</w:t>
      </w:r>
      <w:r w:rsidR="00732F87" w:rsidRPr="004C1FA7">
        <w:t xml:space="preserve"> година </w:t>
      </w:r>
      <w:r w:rsidRPr="004C1FA7">
        <w:rPr>
          <w:lang w:val="en-GB"/>
        </w:rPr>
        <w:t xml:space="preserve">1 </w:t>
      </w:r>
      <w:r w:rsidRPr="004C1FA7">
        <w:t>од  вработени даде</w:t>
      </w:r>
      <w:r w:rsidR="00732F87" w:rsidRPr="004C1FA7">
        <w:t xml:space="preserve"> отказ во Дирекцијата,</w:t>
      </w:r>
      <w:r w:rsidRPr="004C1FA7">
        <w:t xml:space="preserve"> а во Октомври имаше 1 вработување во одделението за лиценцирање и дозволи.</w:t>
      </w:r>
      <w:r w:rsidR="00732F87" w:rsidRPr="004C1FA7">
        <w:t xml:space="preserve"> Во Дирекцијата нема ниту едно лице кои ги исполнува условите за пензионирање.</w:t>
      </w:r>
    </w:p>
    <w:p w:rsidR="00732F87" w:rsidRPr="004C1FA7" w:rsidRDefault="00732F87" w:rsidP="00500B8D">
      <w:pPr>
        <w:pStyle w:val="Obr-Tekst1"/>
        <w:jc w:val="left"/>
      </w:pPr>
      <w:r w:rsidRPr="004C1FA7">
        <w:t>Одделението за инспекциски надзор брои два инспектори за радијациона сигурно</w:t>
      </w:r>
      <w:r w:rsidR="000E558A" w:rsidRPr="004C1FA7">
        <w:t>ст со звање советник инспектор. Нивното работење  е самостојно и во отсуство на Раководител за својата работа одговараат пред Директорот на Дирекцијата. Двата инспектори</w:t>
      </w:r>
      <w:r w:rsidRPr="004C1FA7">
        <w:t xml:space="preserve"> се во старосна граница од 51 до 60 години</w:t>
      </w:r>
      <w:r w:rsidR="000E558A" w:rsidRPr="004C1FA7">
        <w:t xml:space="preserve"> и не ги исполнуваат условите за пензионирање.</w:t>
      </w:r>
    </w:p>
    <w:p w:rsidR="00DB57FB" w:rsidRPr="004C1FA7" w:rsidRDefault="00DB57FB" w:rsidP="00500B8D">
      <w:pPr>
        <w:pStyle w:val="Obr-Tekst1"/>
        <w:jc w:val="left"/>
        <w:rPr>
          <w:lang w:val="en-GB"/>
        </w:rPr>
      </w:pPr>
      <w:r w:rsidRPr="004C1FA7">
        <w:t>Согласно Правилникот за систематизација на работните места во Дирекцијата за радијациона сигурност  предви</w:t>
      </w:r>
      <w:r w:rsidR="00ED7003" w:rsidRPr="004C1FA7">
        <w:t>дени се 4 работни позиции и тоа</w:t>
      </w:r>
      <w:r w:rsidR="00ED7003" w:rsidRPr="004C1FA7">
        <w:rPr>
          <w:lang w:val="en-GB"/>
        </w:rPr>
        <w:t>:</w:t>
      </w:r>
    </w:p>
    <w:p w:rsidR="00ED7003" w:rsidRPr="004C1FA7" w:rsidRDefault="00ED7003" w:rsidP="00500B8D">
      <w:pPr>
        <w:pStyle w:val="Obr-Tekst1"/>
        <w:numPr>
          <w:ilvl w:val="0"/>
          <w:numId w:val="23"/>
        </w:numPr>
        <w:jc w:val="left"/>
        <w:rPr>
          <w:lang w:val="en-GB"/>
        </w:rPr>
      </w:pPr>
      <w:r w:rsidRPr="004C1FA7">
        <w:t>1 Раководител на Одееление за инспекциски надзор,</w:t>
      </w:r>
    </w:p>
    <w:p w:rsidR="00ED7003" w:rsidRPr="004C1FA7" w:rsidRDefault="00ED7003" w:rsidP="00500B8D">
      <w:pPr>
        <w:pStyle w:val="Obr-Tekst1"/>
        <w:numPr>
          <w:ilvl w:val="0"/>
          <w:numId w:val="23"/>
        </w:numPr>
        <w:jc w:val="left"/>
        <w:rPr>
          <w:lang w:val="en-GB"/>
        </w:rPr>
      </w:pPr>
      <w:r w:rsidRPr="004C1FA7">
        <w:t xml:space="preserve">2 Инспектори- советници и </w:t>
      </w:r>
    </w:p>
    <w:p w:rsidR="00ED7003" w:rsidRPr="00ED7003" w:rsidRDefault="00ED7003" w:rsidP="00500B8D">
      <w:pPr>
        <w:pStyle w:val="Obr-Tekst1"/>
        <w:numPr>
          <w:ilvl w:val="0"/>
          <w:numId w:val="23"/>
        </w:numPr>
        <w:jc w:val="left"/>
        <w:rPr>
          <w:lang w:val="en-GB"/>
        </w:rPr>
      </w:pPr>
      <w:r>
        <w:t xml:space="preserve">1 помлад инспектор за координација.  </w:t>
      </w:r>
    </w:p>
    <w:p w:rsidR="00D72BF0" w:rsidRDefault="00F61295" w:rsidP="00500B8D">
      <w:pPr>
        <w:pStyle w:val="Obr-Tekst1"/>
        <w:jc w:val="left"/>
      </w:pPr>
      <w:r>
        <w:t>Годишниот план за вработување за 2021 година предвидува вработување на 1</w:t>
      </w:r>
      <w:r w:rsidR="004C1FA7">
        <w:rPr>
          <w:lang w:val="en-GB"/>
        </w:rPr>
        <w:t xml:space="preserve"> </w:t>
      </w:r>
      <w:r>
        <w:t>помлад инспектор.</w:t>
      </w:r>
    </w:p>
    <w:p w:rsidR="00BF44B2" w:rsidRPr="00330705" w:rsidRDefault="00BF44B2" w:rsidP="00D72BF0">
      <w:pPr>
        <w:pStyle w:val="Obr-Tekst1"/>
        <w:ind w:firstLine="0"/>
        <w:rPr>
          <w:i/>
          <w:sz w:val="20"/>
          <w:szCs w:val="20"/>
        </w:rPr>
      </w:pPr>
      <w:r w:rsidRPr="00330705">
        <w:rPr>
          <w:i/>
          <w:sz w:val="20"/>
          <w:szCs w:val="20"/>
        </w:rPr>
        <w:t xml:space="preserve">Табела </w:t>
      </w:r>
      <w:r w:rsidR="000B0482" w:rsidRPr="00330705">
        <w:rPr>
          <w:i/>
          <w:sz w:val="20"/>
          <w:szCs w:val="20"/>
        </w:rPr>
        <w:fldChar w:fldCharType="begin"/>
      </w:r>
      <w:r w:rsidRPr="00330705">
        <w:rPr>
          <w:i/>
          <w:sz w:val="20"/>
          <w:szCs w:val="20"/>
        </w:rPr>
        <w:instrText xml:space="preserve"> SEQ Табела \* ARABIC </w:instrText>
      </w:r>
      <w:r w:rsidR="000B0482" w:rsidRPr="00330705">
        <w:rPr>
          <w:i/>
          <w:sz w:val="20"/>
          <w:szCs w:val="20"/>
        </w:rPr>
        <w:fldChar w:fldCharType="separate"/>
      </w:r>
      <w:r w:rsidR="00A64B2C">
        <w:rPr>
          <w:i/>
          <w:noProof/>
          <w:sz w:val="20"/>
          <w:szCs w:val="20"/>
        </w:rPr>
        <w:t>1</w:t>
      </w:r>
      <w:r w:rsidR="000B0482" w:rsidRPr="00330705">
        <w:rPr>
          <w:i/>
          <w:sz w:val="20"/>
          <w:szCs w:val="20"/>
        </w:rPr>
        <w:fldChar w:fldCharType="end"/>
      </w:r>
      <w:r w:rsidRPr="000B021B">
        <w:t xml:space="preserve"> </w:t>
      </w:r>
      <w:r w:rsidRPr="00330705">
        <w:rPr>
          <w:i/>
          <w:sz w:val="20"/>
          <w:szCs w:val="20"/>
        </w:rPr>
        <w:t>Преглед на бројот на инспектори кои ќе вршат инспекциски надзор, по вид, возраст и звање</w:t>
      </w:r>
    </w:p>
    <w:tbl>
      <w:tblPr>
        <w:tblW w:w="7808" w:type="dxa"/>
        <w:jc w:val="center"/>
        <w:tblCellMar>
          <w:left w:w="0" w:type="dxa"/>
          <w:right w:w="0" w:type="dxa"/>
        </w:tblCellMar>
        <w:tblLook w:val="04A0"/>
      </w:tblPr>
      <w:tblGrid>
        <w:gridCol w:w="1600"/>
        <w:gridCol w:w="518"/>
        <w:gridCol w:w="518"/>
        <w:gridCol w:w="518"/>
        <w:gridCol w:w="518"/>
        <w:gridCol w:w="517"/>
        <w:gridCol w:w="517"/>
        <w:gridCol w:w="517"/>
        <w:gridCol w:w="517"/>
        <w:gridCol w:w="517"/>
        <w:gridCol w:w="517"/>
        <w:gridCol w:w="517"/>
        <w:gridCol w:w="517"/>
      </w:tblGrid>
      <w:tr w:rsidR="004408CF" w:rsidRPr="00487256" w:rsidTr="004408CF">
        <w:trPr>
          <w:trHeight w:val="31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
              <w:rPr>
                <w:lang w:eastAsia="mk-MK"/>
              </w:rPr>
            </w:pPr>
            <w:r w:rsidRPr="00487256">
              <w:rPr>
                <w:lang w:eastAsia="mk-MK"/>
              </w:rPr>
              <w:t>Вид</w:t>
            </w:r>
          </w:p>
        </w:tc>
        <w:tc>
          <w:tcPr>
            <w:tcW w:w="3106" w:type="dxa"/>
            <w:gridSpan w:val="6"/>
            <w:tcBorders>
              <w:top w:val="single" w:sz="4" w:space="0" w:color="auto"/>
              <w:left w:val="nil"/>
              <w:bottom w:val="single" w:sz="4" w:space="0" w:color="auto"/>
              <w:right w:val="single" w:sz="4" w:space="0" w:color="000000"/>
            </w:tcBorders>
            <w:shd w:val="clear" w:color="000000" w:fill="EBF1DE"/>
            <w:noWrap/>
            <w:vAlign w:val="center"/>
            <w:hideMark/>
          </w:tcPr>
          <w:p w:rsidR="004408CF" w:rsidRPr="00330705" w:rsidRDefault="004408CF" w:rsidP="00330705">
            <w:pPr>
              <w:pStyle w:val="Obr-TabNaslov"/>
            </w:pPr>
            <w:r w:rsidRPr="00330705">
              <w:t xml:space="preserve">Инспектор за </w:t>
            </w:r>
            <w:r>
              <w:t>радијациона сигурност</w:t>
            </w:r>
          </w:p>
        </w:tc>
        <w:tc>
          <w:tcPr>
            <w:tcW w:w="310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408CF" w:rsidRPr="00330705" w:rsidRDefault="004408CF" w:rsidP="00330705">
            <w:pPr>
              <w:pStyle w:val="Obr-TabNaslov"/>
            </w:pPr>
            <w:r w:rsidRPr="00330705">
              <w:t>Вкупно инспектори</w:t>
            </w:r>
          </w:p>
        </w:tc>
      </w:tr>
      <w:tr w:rsidR="004408CF" w:rsidRPr="00487256" w:rsidTr="004408CF">
        <w:trPr>
          <w:cantSplit/>
          <w:trHeight w:val="1134"/>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Ниво-Звање/Возраст</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487256" w:rsidRDefault="004408CF" w:rsidP="00330705">
            <w:pPr>
              <w:pStyle w:val="Obr-TabNaslov"/>
              <w:rPr>
                <w:lang w:eastAsia="mk-MK"/>
              </w:rPr>
            </w:pPr>
            <w:r w:rsidRPr="00487256">
              <w:rPr>
                <w:lang w:eastAsia="mk-MK"/>
              </w:rPr>
              <w:t>&lt;30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487256" w:rsidRDefault="004408CF" w:rsidP="00330705">
            <w:pPr>
              <w:pStyle w:val="Obr-TabNaslov"/>
              <w:rPr>
                <w:lang w:eastAsia="mk-MK"/>
              </w:rPr>
            </w:pPr>
            <w:r w:rsidRPr="00487256">
              <w:rPr>
                <w:lang w:eastAsia="mk-MK"/>
              </w:rPr>
              <w:t>31-40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487256" w:rsidRDefault="004408CF" w:rsidP="00330705">
            <w:pPr>
              <w:pStyle w:val="Obr-TabNaslov"/>
              <w:rPr>
                <w:lang w:eastAsia="mk-MK"/>
              </w:rPr>
            </w:pPr>
            <w:r w:rsidRPr="00487256">
              <w:rPr>
                <w:lang w:eastAsia="mk-MK"/>
              </w:rPr>
              <w:t>41-50 г.</w:t>
            </w:r>
          </w:p>
        </w:tc>
        <w:tc>
          <w:tcPr>
            <w:tcW w:w="518" w:type="dxa"/>
            <w:tcBorders>
              <w:top w:val="nil"/>
              <w:left w:val="nil"/>
              <w:bottom w:val="single" w:sz="4" w:space="0" w:color="auto"/>
              <w:right w:val="single" w:sz="4" w:space="0" w:color="auto"/>
            </w:tcBorders>
            <w:shd w:val="clear" w:color="000000" w:fill="EBF1DE"/>
            <w:noWrap/>
            <w:textDirection w:val="btLr"/>
            <w:vAlign w:val="center"/>
            <w:hideMark/>
          </w:tcPr>
          <w:p w:rsidR="004408CF" w:rsidRPr="00487256" w:rsidRDefault="004408CF" w:rsidP="00330705">
            <w:pPr>
              <w:pStyle w:val="Obr-TabNaslov"/>
              <w:rPr>
                <w:lang w:eastAsia="mk-MK"/>
              </w:rPr>
            </w:pPr>
            <w:r w:rsidRPr="00487256">
              <w:rPr>
                <w:lang w:eastAsia="mk-MK"/>
              </w:rPr>
              <w:t>51-60 г.</w:t>
            </w:r>
          </w:p>
        </w:tc>
        <w:tc>
          <w:tcPr>
            <w:tcW w:w="517" w:type="dxa"/>
            <w:tcBorders>
              <w:top w:val="nil"/>
              <w:left w:val="nil"/>
              <w:bottom w:val="single" w:sz="4" w:space="0" w:color="auto"/>
              <w:right w:val="single" w:sz="4" w:space="0" w:color="auto"/>
            </w:tcBorders>
            <w:shd w:val="clear" w:color="000000" w:fill="EBF1DE"/>
            <w:noWrap/>
            <w:textDirection w:val="btLr"/>
            <w:vAlign w:val="center"/>
            <w:hideMark/>
          </w:tcPr>
          <w:p w:rsidR="004408CF" w:rsidRPr="00487256" w:rsidRDefault="004408CF" w:rsidP="00330705">
            <w:pPr>
              <w:pStyle w:val="Obr-TabNaslov"/>
              <w:rPr>
                <w:lang w:eastAsia="mk-MK"/>
              </w:rPr>
            </w:pPr>
            <w:r w:rsidRPr="00487256">
              <w:rPr>
                <w:lang w:eastAsia="mk-MK"/>
              </w:rPr>
              <w:t>&gt;60 г.</w:t>
            </w:r>
          </w:p>
        </w:tc>
        <w:tc>
          <w:tcPr>
            <w:tcW w:w="517" w:type="dxa"/>
            <w:tcBorders>
              <w:top w:val="nil"/>
              <w:left w:val="nil"/>
              <w:bottom w:val="nil"/>
              <w:right w:val="single" w:sz="4" w:space="0" w:color="auto"/>
            </w:tcBorders>
            <w:shd w:val="clear" w:color="000000" w:fill="EBF1DE"/>
            <w:noWrap/>
            <w:textDirection w:val="btLr"/>
            <w:vAlign w:val="center"/>
            <w:hideMark/>
          </w:tcPr>
          <w:p w:rsidR="004408CF" w:rsidRPr="00487256" w:rsidRDefault="004408CF" w:rsidP="00330705">
            <w:pPr>
              <w:pStyle w:val="Obr-TabNaslov"/>
              <w:rPr>
                <w:lang w:eastAsia="mk-MK"/>
              </w:rPr>
            </w:pPr>
            <w:r w:rsidRPr="00487256">
              <w:rPr>
                <w:lang w:eastAsia="mk-MK"/>
              </w:rPr>
              <w:t>Вкупно</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487256" w:rsidRDefault="004408CF" w:rsidP="00330705">
            <w:pPr>
              <w:pStyle w:val="Obr-TabNaslov"/>
              <w:rPr>
                <w:lang w:eastAsia="mk-MK"/>
              </w:rPr>
            </w:pPr>
            <w:r w:rsidRPr="00487256">
              <w:rPr>
                <w:lang w:eastAsia="mk-MK"/>
              </w:rPr>
              <w:t>&lt;30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487256" w:rsidRDefault="004408CF" w:rsidP="00330705">
            <w:pPr>
              <w:pStyle w:val="Obr-TabNaslov"/>
              <w:rPr>
                <w:lang w:eastAsia="mk-MK"/>
              </w:rPr>
            </w:pPr>
            <w:r w:rsidRPr="00487256">
              <w:rPr>
                <w:lang w:eastAsia="mk-MK"/>
              </w:rPr>
              <w:t>31-40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487256" w:rsidRDefault="004408CF" w:rsidP="00330705">
            <w:pPr>
              <w:pStyle w:val="Obr-TabNaslov"/>
              <w:rPr>
                <w:lang w:eastAsia="mk-MK"/>
              </w:rPr>
            </w:pPr>
            <w:r w:rsidRPr="00487256">
              <w:rPr>
                <w:lang w:eastAsia="mk-MK"/>
              </w:rPr>
              <w:t>41-50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487256" w:rsidRDefault="004408CF" w:rsidP="00330705">
            <w:pPr>
              <w:pStyle w:val="Obr-TabNaslov"/>
              <w:rPr>
                <w:lang w:eastAsia="mk-MK"/>
              </w:rPr>
            </w:pPr>
            <w:r w:rsidRPr="00487256">
              <w:rPr>
                <w:lang w:eastAsia="mk-MK"/>
              </w:rPr>
              <w:t>51-60 г.</w:t>
            </w:r>
          </w:p>
        </w:tc>
        <w:tc>
          <w:tcPr>
            <w:tcW w:w="517" w:type="dxa"/>
            <w:tcBorders>
              <w:top w:val="nil"/>
              <w:left w:val="nil"/>
              <w:bottom w:val="single" w:sz="4" w:space="0" w:color="auto"/>
              <w:right w:val="single" w:sz="4" w:space="0" w:color="auto"/>
            </w:tcBorders>
            <w:shd w:val="clear" w:color="auto" w:fill="auto"/>
            <w:noWrap/>
            <w:textDirection w:val="btLr"/>
            <w:vAlign w:val="center"/>
            <w:hideMark/>
          </w:tcPr>
          <w:p w:rsidR="004408CF" w:rsidRPr="00487256" w:rsidRDefault="004408CF" w:rsidP="00330705">
            <w:pPr>
              <w:pStyle w:val="Obr-TabNaslov"/>
              <w:rPr>
                <w:lang w:eastAsia="mk-MK"/>
              </w:rPr>
            </w:pPr>
            <w:r w:rsidRPr="00487256">
              <w:rPr>
                <w:lang w:eastAsia="mk-MK"/>
              </w:rPr>
              <w:t>&gt;60 г.</w:t>
            </w:r>
          </w:p>
        </w:tc>
        <w:tc>
          <w:tcPr>
            <w:tcW w:w="517" w:type="dxa"/>
            <w:tcBorders>
              <w:top w:val="nil"/>
              <w:left w:val="nil"/>
              <w:bottom w:val="nil"/>
              <w:right w:val="single" w:sz="4" w:space="0" w:color="auto"/>
            </w:tcBorders>
            <w:shd w:val="clear" w:color="auto" w:fill="auto"/>
            <w:noWrap/>
            <w:textDirection w:val="btLr"/>
            <w:vAlign w:val="center"/>
            <w:hideMark/>
          </w:tcPr>
          <w:p w:rsidR="004408CF" w:rsidRPr="00487256" w:rsidRDefault="004408CF" w:rsidP="00330705">
            <w:pPr>
              <w:pStyle w:val="Obr-TabNaslov"/>
              <w:rPr>
                <w:lang w:eastAsia="mk-MK"/>
              </w:rPr>
            </w:pPr>
            <w:r w:rsidRPr="00487256">
              <w:rPr>
                <w:lang w:eastAsia="mk-MK"/>
              </w:rPr>
              <w:t>Вкупно</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Б1 – генерален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single" w:sz="4" w:space="0" w:color="auto"/>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Б2 –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Б3 – пом. главен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Б4 – виш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 xml:space="preserve">В1 – советник инспектор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Pr>
                <w:lang w:eastAsia="mk-MK"/>
              </w:rPr>
              <w:t>2</w:t>
            </w: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t>2</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r>
              <w:rPr>
                <w:lang w:eastAsia="mk-MK"/>
              </w:rPr>
              <w:t>2</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t>2</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В2 – самостоен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В3 – помошник 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330705">
            <w:pPr>
              <w:pStyle w:val="Obr-TabNaslov2"/>
              <w:rPr>
                <w:lang w:eastAsia="mk-MK"/>
              </w:rPr>
            </w:pPr>
            <w:r w:rsidRPr="00487256">
              <w:rPr>
                <w:lang w:eastAsia="mk-MK"/>
              </w:rPr>
              <w:t xml:space="preserve">В4 – помлад </w:t>
            </w:r>
            <w:r w:rsidRPr="00487256">
              <w:rPr>
                <w:lang w:eastAsia="mk-MK"/>
              </w:rPr>
              <w:lastRenderedPageBreak/>
              <w:t>инспектор</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lastRenderedPageBreak/>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1"/>
              <w:rPr>
                <w:lang w:eastAsia="mk-MK"/>
              </w:rPr>
            </w:pPr>
            <w:r w:rsidRPr="00487256">
              <w:rPr>
                <w:lang w:eastAsia="mk-MK"/>
              </w:rPr>
              <w:t> </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tcPr>
          <w:p w:rsidR="004408CF" w:rsidRPr="00487256" w:rsidRDefault="004408CF" w:rsidP="00330705">
            <w:pPr>
              <w:pStyle w:val="Obr-TabText1"/>
              <w:rPr>
                <w:lang w:eastAsia="mk-MK"/>
              </w:rPr>
            </w:pP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r w:rsidR="004408CF" w:rsidRPr="00487256" w:rsidTr="004408CF">
        <w:trPr>
          <w:trHeight w:val="315"/>
          <w:jc w:val="center"/>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4408CF" w:rsidRPr="00487256" w:rsidRDefault="004408CF" w:rsidP="00BF44B2">
            <w:pPr>
              <w:spacing w:after="0" w:line="240" w:lineRule="auto"/>
              <w:jc w:val="right"/>
              <w:rPr>
                <w:rFonts w:ascii="StobiSansCn Bold" w:eastAsia="Times New Roman" w:hAnsi="StobiSansCn Bold" w:cs="Times New Roman"/>
                <w:color w:val="000000"/>
                <w:sz w:val="20"/>
                <w:szCs w:val="20"/>
                <w:lang w:eastAsia="mk-MK"/>
              </w:rPr>
            </w:pPr>
            <w:r w:rsidRPr="00487256">
              <w:rPr>
                <w:rFonts w:ascii="StobiSansCn Bold" w:eastAsia="Times New Roman" w:hAnsi="StobiSansCn Bold" w:cs="Times New Roman"/>
                <w:color w:val="000000"/>
                <w:sz w:val="20"/>
                <w:szCs w:val="20"/>
                <w:lang w:eastAsia="mk-MK"/>
              </w:rPr>
              <w:lastRenderedPageBreak/>
              <w:t>Вкупно</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8"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t>2</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000000" w:fill="EBF1DE"/>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t>2</w:t>
            </w: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c>
          <w:tcPr>
            <w:tcW w:w="517" w:type="dxa"/>
            <w:tcBorders>
              <w:top w:val="nil"/>
              <w:left w:val="nil"/>
              <w:bottom w:val="single" w:sz="4" w:space="0" w:color="auto"/>
              <w:right w:val="single" w:sz="4" w:space="0" w:color="auto"/>
            </w:tcBorders>
            <w:shd w:val="clear" w:color="auto" w:fill="auto"/>
            <w:vAlign w:val="center"/>
            <w:hideMark/>
          </w:tcPr>
          <w:p w:rsidR="004408CF" w:rsidRPr="00487256" w:rsidRDefault="004408CF" w:rsidP="00330705">
            <w:pPr>
              <w:pStyle w:val="Obr-TabText2"/>
            </w:pPr>
            <w:r w:rsidRPr="00487256">
              <w:t>0</w:t>
            </w:r>
          </w:p>
        </w:tc>
      </w:tr>
    </w:tbl>
    <w:p w:rsidR="00D72BF0" w:rsidRDefault="00D72BF0" w:rsidP="00BF44B2"/>
    <w:p w:rsidR="00BF44B2" w:rsidRDefault="00732F87" w:rsidP="00BF44B2">
      <w:pPr>
        <w:sectPr w:rsidR="00BF44B2" w:rsidSect="000775E9">
          <w:footerReference w:type="default" r:id="rId9"/>
          <w:pgSz w:w="11906" w:h="16838"/>
          <w:pgMar w:top="1418" w:right="1418" w:bottom="1418" w:left="1418" w:header="708" w:footer="708" w:gutter="0"/>
          <w:cols w:space="708"/>
          <w:docGrid w:linePitch="360"/>
        </w:sectPr>
      </w:pPr>
      <w:r>
        <w:t>Во одделението за инспекциски надзор кое функционира во рамките на Дирекцијата за радијациона сигурност работат два инспектори</w:t>
      </w:r>
      <w:r w:rsidR="00494B8A">
        <w:rPr>
          <w:lang w:val="en-GB"/>
        </w:rPr>
        <w:t xml:space="preserve"> </w:t>
      </w:r>
      <w:r w:rsidR="00494B8A">
        <w:t xml:space="preserve">за радијациона сигурност </w:t>
      </w:r>
      <w:r>
        <w:t>- со звање</w:t>
      </w:r>
      <w:r w:rsidR="00494B8A">
        <w:t xml:space="preserve"> советник,  кои се на возраст 5</w:t>
      </w:r>
      <w:r w:rsidR="00494B8A">
        <w:rPr>
          <w:lang w:val="en-GB"/>
        </w:rPr>
        <w:t>5</w:t>
      </w:r>
      <w:r w:rsidR="00494B8A">
        <w:t xml:space="preserve"> и 5</w:t>
      </w:r>
      <w:r w:rsidR="00494B8A">
        <w:rPr>
          <w:lang w:val="en-GB"/>
        </w:rPr>
        <w:t>1</w:t>
      </w:r>
      <w:r>
        <w:t xml:space="preserve"> година. </w:t>
      </w:r>
    </w:p>
    <w:p w:rsidR="009009B1" w:rsidRDefault="009009B1" w:rsidP="00330705">
      <w:pPr>
        <w:pStyle w:val="Caption"/>
        <w:keepNext/>
      </w:pPr>
      <w:r>
        <w:lastRenderedPageBreak/>
        <w:t xml:space="preserve">Табела </w:t>
      </w:r>
      <w:fldSimple w:instr=" SEQ Табела \* ARABIC ">
        <w:r w:rsidR="00A64B2C">
          <w:rPr>
            <w:noProof/>
          </w:rPr>
          <w:t>2</w:t>
        </w:r>
      </w:fldSimple>
      <w:r w:rsidRPr="009009B1">
        <w:t xml:space="preserve"> </w:t>
      </w:r>
      <w:r>
        <w:t>План за нови вработувања и пензионирања на инспектори</w:t>
      </w:r>
    </w:p>
    <w:tbl>
      <w:tblPr>
        <w:tblW w:w="7360" w:type="dxa"/>
        <w:jc w:val="center"/>
        <w:tblLook w:val="04A0"/>
      </w:tblPr>
      <w:tblGrid>
        <w:gridCol w:w="2360"/>
        <w:gridCol w:w="760"/>
        <w:gridCol w:w="760"/>
        <w:gridCol w:w="980"/>
        <w:gridCol w:w="760"/>
        <w:gridCol w:w="760"/>
        <w:gridCol w:w="980"/>
      </w:tblGrid>
      <w:tr w:rsidR="004408CF" w:rsidRPr="00206F03" w:rsidTr="004408CF">
        <w:trPr>
          <w:trHeight w:val="315"/>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lang w:eastAsia="mk-MK"/>
              </w:rPr>
            </w:pPr>
            <w:r w:rsidRPr="00206F03">
              <w:rPr>
                <w:lang w:eastAsia="mk-MK"/>
              </w:rPr>
              <w:t>Вид</w:t>
            </w:r>
          </w:p>
        </w:tc>
        <w:tc>
          <w:tcPr>
            <w:tcW w:w="2500" w:type="dxa"/>
            <w:gridSpan w:val="3"/>
            <w:tcBorders>
              <w:top w:val="single" w:sz="4" w:space="0" w:color="auto"/>
              <w:left w:val="nil"/>
              <w:bottom w:val="single" w:sz="4" w:space="0" w:color="auto"/>
              <w:right w:val="single" w:sz="4" w:space="0" w:color="000000"/>
            </w:tcBorders>
            <w:shd w:val="clear" w:color="000000" w:fill="EBF1DE"/>
            <w:noWrap/>
            <w:vAlign w:val="center"/>
            <w:hideMark/>
          </w:tcPr>
          <w:p w:rsidR="004408CF" w:rsidRPr="005114B8" w:rsidRDefault="004408CF" w:rsidP="005114B8">
            <w:pPr>
              <w:pStyle w:val="Obr-TabNaslov"/>
              <w:rPr>
                <w:lang w:val="en-GB" w:eastAsia="mk-MK"/>
              </w:rPr>
            </w:pPr>
            <w:r w:rsidRPr="00206F03">
              <w:rPr>
                <w:lang w:eastAsia="mk-MK"/>
              </w:rPr>
              <w:t>Инспектор за</w:t>
            </w:r>
            <w:r w:rsidR="005114B8">
              <w:rPr>
                <w:lang w:eastAsia="mk-MK"/>
              </w:rPr>
              <w:t xml:space="preserve"> радијациона сигурност</w:t>
            </w:r>
          </w:p>
        </w:tc>
        <w:tc>
          <w:tcPr>
            <w:tcW w:w="2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408CF" w:rsidRPr="00206F03" w:rsidRDefault="004408CF" w:rsidP="00330705">
            <w:pPr>
              <w:pStyle w:val="Obr-TabNaslov"/>
              <w:rPr>
                <w:lang w:eastAsia="mk-MK"/>
              </w:rPr>
            </w:pPr>
            <w:r w:rsidRPr="00206F03">
              <w:rPr>
                <w:lang w:eastAsia="mk-MK"/>
              </w:rPr>
              <w:t>Вкупно инспектори</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lang w:eastAsia="mk-MK"/>
              </w:rPr>
            </w:pPr>
            <w:r w:rsidRPr="00206F03">
              <w:rPr>
                <w:lang w:eastAsia="mk-MK"/>
              </w:rPr>
              <w:t>Ниво-Звање/Возраст</w:t>
            </w:r>
          </w:p>
        </w:tc>
        <w:tc>
          <w:tcPr>
            <w:tcW w:w="760" w:type="dxa"/>
            <w:tcBorders>
              <w:top w:val="nil"/>
              <w:left w:val="nil"/>
              <w:bottom w:val="single" w:sz="4" w:space="0" w:color="auto"/>
              <w:right w:val="single" w:sz="4" w:space="0" w:color="auto"/>
            </w:tcBorders>
            <w:shd w:val="clear" w:color="000000" w:fill="EBF1DE"/>
            <w:noWrap/>
            <w:vAlign w:val="center"/>
            <w:hideMark/>
          </w:tcPr>
          <w:p w:rsidR="004408CF" w:rsidRPr="00206F03" w:rsidRDefault="004408CF" w:rsidP="00330705">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000000" w:fill="EBF1DE"/>
            <w:noWrap/>
            <w:vAlign w:val="center"/>
            <w:hideMark/>
          </w:tcPr>
          <w:p w:rsidR="004408CF" w:rsidRPr="00206F03" w:rsidRDefault="004408CF" w:rsidP="00330705">
            <w:pPr>
              <w:pStyle w:val="Obr-TabNaslov"/>
              <w:rPr>
                <w:lang w:eastAsia="mk-MK"/>
              </w:rPr>
            </w:pPr>
            <w:r w:rsidRPr="00206F03">
              <w:rPr>
                <w:lang w:eastAsia="mk-MK"/>
              </w:rPr>
              <w:t>Пенз.</w:t>
            </w:r>
          </w:p>
        </w:tc>
        <w:tc>
          <w:tcPr>
            <w:tcW w:w="980" w:type="dxa"/>
            <w:tcBorders>
              <w:top w:val="nil"/>
              <w:left w:val="nil"/>
              <w:bottom w:val="nil"/>
              <w:right w:val="single" w:sz="4" w:space="0" w:color="auto"/>
            </w:tcBorders>
            <w:shd w:val="clear" w:color="000000" w:fill="EBF1DE"/>
            <w:noWrap/>
            <w:vAlign w:val="center"/>
            <w:hideMark/>
          </w:tcPr>
          <w:p w:rsidR="004408CF" w:rsidRPr="00206F03" w:rsidRDefault="004408CF" w:rsidP="00330705">
            <w:pPr>
              <w:pStyle w:val="Obr-TabNaslov"/>
              <w:rPr>
                <w:lang w:eastAsia="mk-MK"/>
              </w:rPr>
            </w:pPr>
            <w:r w:rsidRPr="00206F03">
              <w:rPr>
                <w:lang w:eastAsia="mk-MK"/>
              </w:rPr>
              <w:t>Разлика</w:t>
            </w:r>
          </w:p>
        </w:tc>
        <w:tc>
          <w:tcPr>
            <w:tcW w:w="760" w:type="dxa"/>
            <w:tcBorders>
              <w:top w:val="nil"/>
              <w:left w:val="nil"/>
              <w:bottom w:val="single" w:sz="4" w:space="0" w:color="auto"/>
              <w:right w:val="single" w:sz="4" w:space="0" w:color="auto"/>
            </w:tcBorders>
            <w:shd w:val="clear" w:color="auto" w:fill="auto"/>
            <w:noWrap/>
            <w:vAlign w:val="center"/>
            <w:hideMark/>
          </w:tcPr>
          <w:p w:rsidR="004408CF" w:rsidRPr="00206F03" w:rsidRDefault="004408CF" w:rsidP="00330705">
            <w:pPr>
              <w:pStyle w:val="Obr-TabNaslov"/>
              <w:rPr>
                <w:lang w:eastAsia="mk-MK"/>
              </w:rPr>
            </w:pPr>
            <w:r w:rsidRPr="00206F03">
              <w:rPr>
                <w:lang w:eastAsia="mk-MK"/>
              </w:rPr>
              <w:t>Враб.</w:t>
            </w:r>
          </w:p>
        </w:tc>
        <w:tc>
          <w:tcPr>
            <w:tcW w:w="760" w:type="dxa"/>
            <w:tcBorders>
              <w:top w:val="nil"/>
              <w:left w:val="nil"/>
              <w:bottom w:val="single" w:sz="4" w:space="0" w:color="auto"/>
              <w:right w:val="single" w:sz="4" w:space="0" w:color="auto"/>
            </w:tcBorders>
            <w:shd w:val="clear" w:color="auto" w:fill="auto"/>
            <w:noWrap/>
            <w:vAlign w:val="center"/>
            <w:hideMark/>
          </w:tcPr>
          <w:p w:rsidR="004408CF" w:rsidRPr="00206F03" w:rsidRDefault="004408CF" w:rsidP="00330705">
            <w:pPr>
              <w:pStyle w:val="Obr-TabNaslov"/>
              <w:rPr>
                <w:lang w:eastAsia="mk-MK"/>
              </w:rPr>
            </w:pPr>
            <w:r w:rsidRPr="00206F03">
              <w:rPr>
                <w:lang w:eastAsia="mk-MK"/>
              </w:rPr>
              <w:t>Пенз.</w:t>
            </w:r>
          </w:p>
        </w:tc>
        <w:tc>
          <w:tcPr>
            <w:tcW w:w="980" w:type="dxa"/>
            <w:tcBorders>
              <w:top w:val="nil"/>
              <w:left w:val="nil"/>
              <w:bottom w:val="nil"/>
              <w:right w:val="single" w:sz="4" w:space="0" w:color="auto"/>
            </w:tcBorders>
            <w:shd w:val="clear" w:color="auto" w:fill="auto"/>
            <w:noWrap/>
            <w:vAlign w:val="center"/>
            <w:hideMark/>
          </w:tcPr>
          <w:p w:rsidR="004408CF" w:rsidRPr="00206F03" w:rsidRDefault="004408CF" w:rsidP="00330705">
            <w:pPr>
              <w:pStyle w:val="Obr-TabNaslov"/>
              <w:rPr>
                <w:lang w:eastAsia="mk-MK"/>
              </w:rPr>
            </w:pPr>
            <w:r w:rsidRPr="00206F03">
              <w:rPr>
                <w:lang w:eastAsia="mk-MK"/>
              </w:rPr>
              <w:t>Разлика</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Б1 – генерален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single" w:sz="4" w:space="0" w:color="auto"/>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Б2 – главен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Б3 – пом. глав</w:t>
            </w:r>
            <w:r>
              <w:rPr>
                <w:rFonts w:eastAsia="Times New Roman" w:cs="Times New Roman"/>
                <w:color w:val="000000"/>
                <w:lang w:eastAsia="mk-MK"/>
              </w:rPr>
              <w:t>.</w:t>
            </w:r>
            <w:r w:rsidRPr="00206F03">
              <w:rPr>
                <w:rFonts w:eastAsia="Times New Roman" w:cs="Times New Roman"/>
                <w:color w:val="000000"/>
                <w:lang w:eastAsia="mk-MK"/>
              </w:rPr>
              <w:t xml:space="preserve">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Б4 – виш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 xml:space="preserve">В1 – советник инспектор </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F61295"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F61295" w:rsidP="00211779">
            <w:pPr>
              <w:pStyle w:val="Obr-TabText2"/>
            </w:pPr>
            <w:r>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F61295" w:rsidP="00211779">
            <w:pPr>
              <w:pStyle w:val="Obr-TabText2"/>
              <w:jc w:val="left"/>
            </w:pPr>
            <w:r>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В2 – самостоен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В3 – помошник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330705">
            <w:pPr>
              <w:pStyle w:val="Obr-TabNaslov2"/>
              <w:rPr>
                <w:rFonts w:eastAsia="Times New Roman" w:cs="Times New Roman"/>
                <w:color w:val="000000"/>
                <w:lang w:eastAsia="mk-MK"/>
              </w:rPr>
            </w:pPr>
            <w:r w:rsidRPr="00206F03">
              <w:rPr>
                <w:rFonts w:eastAsia="Times New Roman" w:cs="Times New Roman"/>
                <w:color w:val="000000"/>
                <w:lang w:eastAsia="mk-MK"/>
              </w:rPr>
              <w:t>В4 – помлад инспектор</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F61295" w:rsidP="00211779">
            <w:pPr>
              <w:pStyle w:val="Obr-TabText1"/>
              <w:rPr>
                <w:lang w:eastAsia="mk-MK"/>
              </w:rPr>
            </w:pPr>
            <w:r>
              <w:rPr>
                <w:lang w:eastAsia="mk-MK"/>
              </w:rPr>
              <w:t>1</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1"/>
              <w:rPr>
                <w:lang w:eastAsia="mk-MK"/>
              </w:rPr>
            </w:pPr>
            <w:r>
              <w:rPr>
                <w:lang w:eastAsia="mk-MK"/>
              </w:rPr>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760" w:type="dxa"/>
            <w:tcBorders>
              <w:top w:val="nil"/>
              <w:left w:val="nil"/>
              <w:bottom w:val="single" w:sz="4" w:space="0" w:color="auto"/>
              <w:right w:val="single" w:sz="4" w:space="0" w:color="auto"/>
            </w:tcBorders>
            <w:shd w:val="clear" w:color="auto" w:fill="auto"/>
            <w:vAlign w:val="center"/>
          </w:tcPr>
          <w:p w:rsidR="004408CF" w:rsidRPr="00206F03" w:rsidRDefault="004408CF" w:rsidP="00330705">
            <w:pPr>
              <w:pStyle w:val="Obr-TabText1"/>
              <w:rPr>
                <w:lang w:eastAsia="mk-MK"/>
              </w:rPr>
            </w:pPr>
          </w:p>
        </w:tc>
        <w:tc>
          <w:tcPr>
            <w:tcW w:w="98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211779">
            <w:pPr>
              <w:pStyle w:val="Obr-TabText2"/>
              <w:jc w:val="left"/>
            </w:pPr>
            <w:r w:rsidRPr="00206F03">
              <w:t>0</w:t>
            </w:r>
          </w:p>
        </w:tc>
      </w:tr>
      <w:tr w:rsidR="004408CF" w:rsidRPr="00206F03" w:rsidTr="004408CF">
        <w:trPr>
          <w:trHeight w:val="315"/>
          <w:jc w:val="center"/>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4408CF" w:rsidRPr="00206F03" w:rsidRDefault="004408CF" w:rsidP="00BF44B2">
            <w:pPr>
              <w:spacing w:after="0" w:line="240" w:lineRule="auto"/>
              <w:jc w:val="right"/>
              <w:rPr>
                <w:rFonts w:ascii="StobiSansCn Bold" w:eastAsia="Times New Roman" w:hAnsi="StobiSansCn Bold" w:cs="Times New Roman"/>
                <w:color w:val="000000"/>
                <w:sz w:val="20"/>
                <w:szCs w:val="20"/>
                <w:lang w:eastAsia="mk-MK"/>
              </w:rPr>
            </w:pPr>
            <w:r w:rsidRPr="00206F03">
              <w:rPr>
                <w:rFonts w:ascii="StobiSansCn Bold" w:eastAsia="Times New Roman" w:hAnsi="StobiSansCn Bold" w:cs="Times New Roman"/>
                <w:color w:val="000000"/>
                <w:sz w:val="20"/>
                <w:szCs w:val="20"/>
                <w:lang w:eastAsia="mk-MK"/>
              </w:rPr>
              <w:t>Вкупно</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F61295" w:rsidP="00211779">
            <w:pPr>
              <w:pStyle w:val="Obr-TabText2"/>
            </w:pPr>
            <w:r>
              <w:t>1</w:t>
            </w:r>
          </w:p>
        </w:tc>
        <w:tc>
          <w:tcPr>
            <w:tcW w:w="76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980" w:type="dxa"/>
            <w:tcBorders>
              <w:top w:val="nil"/>
              <w:left w:val="nil"/>
              <w:bottom w:val="single" w:sz="4" w:space="0" w:color="auto"/>
              <w:right w:val="single" w:sz="4" w:space="0" w:color="auto"/>
            </w:tcBorders>
            <w:shd w:val="clear" w:color="000000" w:fill="EBF1DE"/>
            <w:vAlign w:val="center"/>
            <w:hideMark/>
          </w:tcPr>
          <w:p w:rsidR="004408CF" w:rsidRPr="00206F03" w:rsidRDefault="004408CF" w:rsidP="00211779">
            <w:pPr>
              <w:pStyle w:val="Obr-TabText2"/>
            </w:pPr>
            <w:r w:rsidRPr="00206F03">
              <w:t>0</w:t>
            </w:r>
          </w:p>
        </w:tc>
        <w:tc>
          <w:tcPr>
            <w:tcW w:w="760" w:type="dxa"/>
            <w:tcBorders>
              <w:top w:val="nil"/>
              <w:left w:val="nil"/>
              <w:bottom w:val="single" w:sz="4" w:space="0" w:color="auto"/>
              <w:right w:val="single" w:sz="4" w:space="0" w:color="auto"/>
            </w:tcBorders>
            <w:shd w:val="clear" w:color="auto" w:fill="auto"/>
            <w:vAlign w:val="center"/>
            <w:hideMark/>
          </w:tcPr>
          <w:p w:rsidR="004408CF" w:rsidRPr="00206F03" w:rsidRDefault="00F61295" w:rsidP="00330705">
            <w:pPr>
              <w:pStyle w:val="Obr-TabText2"/>
            </w:pPr>
            <w:r>
              <w:t>1</w:t>
            </w:r>
          </w:p>
        </w:tc>
        <w:tc>
          <w:tcPr>
            <w:tcW w:w="760" w:type="dxa"/>
            <w:tcBorders>
              <w:top w:val="nil"/>
              <w:left w:val="nil"/>
              <w:bottom w:val="single" w:sz="4" w:space="0" w:color="auto"/>
              <w:right w:val="single" w:sz="4" w:space="0" w:color="auto"/>
            </w:tcBorders>
            <w:shd w:val="clear" w:color="auto" w:fill="auto"/>
            <w:vAlign w:val="center"/>
            <w:hideMark/>
          </w:tcPr>
          <w:p w:rsidR="004408CF" w:rsidRPr="00206F03" w:rsidRDefault="004408CF" w:rsidP="00330705">
            <w:pPr>
              <w:pStyle w:val="Obr-TabText2"/>
            </w:pPr>
            <w:r w:rsidRPr="00206F03">
              <w:t>0</w:t>
            </w:r>
          </w:p>
        </w:tc>
        <w:tc>
          <w:tcPr>
            <w:tcW w:w="980" w:type="dxa"/>
            <w:tcBorders>
              <w:top w:val="nil"/>
              <w:left w:val="nil"/>
              <w:bottom w:val="single" w:sz="4" w:space="0" w:color="auto"/>
              <w:right w:val="single" w:sz="4" w:space="0" w:color="auto"/>
            </w:tcBorders>
            <w:shd w:val="clear" w:color="auto" w:fill="auto"/>
            <w:vAlign w:val="center"/>
            <w:hideMark/>
          </w:tcPr>
          <w:p w:rsidR="004408CF" w:rsidRPr="00494B8A" w:rsidRDefault="00F61295" w:rsidP="00211779">
            <w:pPr>
              <w:pStyle w:val="Obr-TabText2"/>
              <w:jc w:val="left"/>
              <w:rPr>
                <w:lang w:val="en-GB"/>
              </w:rPr>
            </w:pPr>
            <w:r>
              <w:t>1</w:t>
            </w:r>
          </w:p>
        </w:tc>
      </w:tr>
    </w:tbl>
    <w:p w:rsidR="009009B1" w:rsidRPr="004C1FA7" w:rsidRDefault="00F61295">
      <w:pPr>
        <w:pStyle w:val="Obr-Naslov1"/>
        <w:rPr>
          <w:rFonts w:ascii="StobiSans Regular" w:hAnsi="StobiSans Regular"/>
          <w:sz w:val="22"/>
        </w:rPr>
      </w:pPr>
      <w:r w:rsidRPr="004C1FA7">
        <w:rPr>
          <w:rFonts w:ascii="StobiSans Regular" w:hAnsi="StobiSans Regular"/>
          <w:sz w:val="22"/>
        </w:rPr>
        <w:t>Табелата потврдува дека Дирекција за радијациона сигурност побарува вработување на 1 помлад инспектор во 2021 година.</w:t>
      </w:r>
    </w:p>
    <w:p w:rsidR="00BF7276" w:rsidRDefault="00BF7276">
      <w:pPr>
        <w:pStyle w:val="Obr-Naslov1"/>
      </w:pPr>
    </w:p>
    <w:p w:rsidR="00BF7276" w:rsidRDefault="00BF7276">
      <w:pPr>
        <w:pStyle w:val="Obr-Naslov1"/>
      </w:pPr>
    </w:p>
    <w:p w:rsidR="00BF7276" w:rsidRDefault="00BF7276">
      <w:pPr>
        <w:pStyle w:val="Obr-Naslov1"/>
        <w:sectPr w:rsidR="00BF7276" w:rsidSect="00BF44B2">
          <w:pgSz w:w="16838" w:h="11906" w:orient="landscape"/>
          <w:pgMar w:top="1418" w:right="1418" w:bottom="1418" w:left="1418" w:header="709" w:footer="709" w:gutter="0"/>
          <w:cols w:space="708"/>
          <w:docGrid w:linePitch="360"/>
        </w:sectPr>
      </w:pPr>
    </w:p>
    <w:p w:rsidR="00531C7C" w:rsidRPr="003E1AAC" w:rsidRDefault="00EB5379" w:rsidP="000B021B">
      <w:pPr>
        <w:pStyle w:val="Obr-Naslov1"/>
        <w:rPr>
          <w:rFonts w:ascii="StobiSansRegular" w:hAnsi="StobiSansRegular"/>
          <w:sz w:val="22"/>
        </w:rPr>
      </w:pPr>
      <w:r w:rsidRPr="003E1AAC">
        <w:rPr>
          <w:rFonts w:ascii="StobiSansRegular" w:hAnsi="StobiSansRegular"/>
          <w:sz w:val="22"/>
        </w:rPr>
        <w:lastRenderedPageBreak/>
        <w:t>Инспекциски надзор</w:t>
      </w:r>
    </w:p>
    <w:p w:rsidR="00760D58" w:rsidRPr="003E1AAC" w:rsidRDefault="00760D58" w:rsidP="00760D58">
      <w:pPr>
        <w:rPr>
          <w:rFonts w:ascii="StobiSansRegular" w:hAnsi="StobiSansRegular" w:cs="Arial"/>
        </w:rPr>
      </w:pPr>
      <w:r w:rsidRPr="003E1AAC">
        <w:rPr>
          <w:rFonts w:ascii="StobiSansRegular" w:hAnsi="StobiSansRegular" w:cs="Arial"/>
        </w:rPr>
        <w:t>Областите на дејности и групи на субјекти каде Дирекцијата за радијациона сигурност врши надзор:</w:t>
      </w:r>
    </w:p>
    <w:tbl>
      <w:tblPr>
        <w:tblStyle w:val="TableGrid"/>
        <w:tblW w:w="0" w:type="auto"/>
        <w:tblLook w:val="04A0"/>
      </w:tblPr>
      <w:tblGrid>
        <w:gridCol w:w="2660"/>
        <w:gridCol w:w="4394"/>
        <w:gridCol w:w="2188"/>
      </w:tblGrid>
      <w:tr w:rsidR="00760D58" w:rsidRPr="003E1AAC" w:rsidTr="002053C6">
        <w:tc>
          <w:tcPr>
            <w:tcW w:w="2660" w:type="dxa"/>
          </w:tcPr>
          <w:p w:rsidR="00760D58" w:rsidRPr="003E1AAC" w:rsidRDefault="00760D58" w:rsidP="002053C6">
            <w:pPr>
              <w:spacing w:line="0" w:lineRule="atLeast"/>
              <w:jc w:val="both"/>
              <w:rPr>
                <w:rFonts w:ascii="StobiSansRegular" w:eastAsia="Times New Roman" w:hAnsi="StobiSansRegular" w:cs="Arial"/>
                <w:lang w:eastAsia="mk-MK"/>
              </w:rPr>
            </w:pPr>
            <w:r w:rsidRPr="003E1AAC">
              <w:rPr>
                <w:rFonts w:ascii="StobiSansRegular" w:eastAsia="Times New Roman" w:hAnsi="StobiSansRegular" w:cs="Arial"/>
                <w:b/>
                <w:bCs/>
                <w:i/>
                <w:iCs/>
                <w:color w:val="000000"/>
                <w:lang w:eastAsia="mk-MK"/>
              </w:rPr>
              <w:t>Области на дејности</w:t>
            </w:r>
          </w:p>
        </w:tc>
        <w:tc>
          <w:tcPr>
            <w:tcW w:w="4394" w:type="dxa"/>
          </w:tcPr>
          <w:p w:rsidR="00760D58" w:rsidRPr="003E1AAC" w:rsidRDefault="00760D58" w:rsidP="002053C6">
            <w:pPr>
              <w:spacing w:line="0" w:lineRule="atLeast"/>
              <w:jc w:val="both"/>
              <w:rPr>
                <w:rFonts w:ascii="StobiSansRegular" w:eastAsia="Times New Roman" w:hAnsi="StobiSansRegular" w:cs="Arial"/>
                <w:lang w:eastAsia="mk-MK"/>
              </w:rPr>
            </w:pPr>
            <w:r w:rsidRPr="003E1AAC">
              <w:rPr>
                <w:rFonts w:ascii="StobiSansRegular" w:eastAsia="Times New Roman" w:hAnsi="StobiSansRegular" w:cs="Arial"/>
                <w:b/>
                <w:bCs/>
                <w:i/>
                <w:iCs/>
                <w:color w:val="000000"/>
                <w:lang w:eastAsia="mk-MK"/>
              </w:rPr>
              <w:t>Групи субјекти во дејноста</w:t>
            </w:r>
          </w:p>
        </w:tc>
        <w:tc>
          <w:tcPr>
            <w:tcW w:w="2188" w:type="dxa"/>
          </w:tcPr>
          <w:p w:rsidR="00760D58" w:rsidRPr="003E1AAC" w:rsidRDefault="00760D58" w:rsidP="002053C6">
            <w:pPr>
              <w:spacing w:line="0" w:lineRule="atLeast"/>
              <w:jc w:val="center"/>
              <w:rPr>
                <w:rFonts w:ascii="StobiSansRegular" w:eastAsia="Times New Roman" w:hAnsi="StobiSansRegular" w:cs="Arial"/>
                <w:lang w:eastAsia="mk-MK"/>
              </w:rPr>
            </w:pPr>
            <w:r w:rsidRPr="003E1AAC">
              <w:rPr>
                <w:rFonts w:ascii="StobiSansRegular" w:eastAsia="Times New Roman" w:hAnsi="StobiSansRegular" w:cs="Arial"/>
                <w:b/>
                <w:bCs/>
                <w:i/>
                <w:iCs/>
                <w:color w:val="000000"/>
                <w:lang w:eastAsia="mk-MK"/>
              </w:rPr>
              <w:t>Број на субјекти</w:t>
            </w:r>
          </w:p>
        </w:tc>
      </w:tr>
      <w:tr w:rsidR="00760D58" w:rsidRPr="003E1AAC" w:rsidTr="002053C6">
        <w:tc>
          <w:tcPr>
            <w:tcW w:w="2660" w:type="dxa"/>
          </w:tcPr>
          <w:p w:rsidR="00760D58" w:rsidRPr="003E1AAC" w:rsidRDefault="00760D58" w:rsidP="002053C6">
            <w:pPr>
              <w:spacing w:line="0" w:lineRule="atLeast"/>
              <w:jc w:val="both"/>
              <w:rPr>
                <w:rFonts w:ascii="StobiSansRegular" w:eastAsia="Times New Roman" w:hAnsi="StobiSansRegular" w:cs="Arial"/>
                <w:lang w:eastAsia="mk-MK"/>
              </w:rPr>
            </w:pPr>
            <w:r w:rsidRPr="003E1AAC">
              <w:rPr>
                <w:rFonts w:ascii="StobiSansRegular" w:eastAsia="Times New Roman" w:hAnsi="StobiSansRegular" w:cs="Arial"/>
                <w:lang w:eastAsia="mk-MK"/>
              </w:rPr>
              <w:t>1. Медицина</w:t>
            </w:r>
          </w:p>
        </w:tc>
        <w:tc>
          <w:tcPr>
            <w:tcW w:w="4394" w:type="dxa"/>
          </w:tcPr>
          <w:p w:rsidR="00760D58" w:rsidRPr="003E1AAC" w:rsidRDefault="00760D58" w:rsidP="002053C6">
            <w:pPr>
              <w:rPr>
                <w:rFonts w:ascii="StobiSansRegular" w:hAnsi="StobiSansRegular" w:cs="Arial"/>
              </w:rPr>
            </w:pPr>
          </w:p>
        </w:tc>
        <w:tc>
          <w:tcPr>
            <w:tcW w:w="2188" w:type="dxa"/>
          </w:tcPr>
          <w:p w:rsidR="00760D58" w:rsidRPr="003E1AAC" w:rsidRDefault="00760D58" w:rsidP="002053C6">
            <w:pPr>
              <w:rPr>
                <w:rFonts w:ascii="StobiSansRegular" w:hAnsi="StobiSansRegular" w:cs="Arial"/>
              </w:rPr>
            </w:pPr>
          </w:p>
        </w:tc>
      </w:tr>
      <w:tr w:rsidR="00760D58" w:rsidRPr="003E1AAC" w:rsidTr="002053C6">
        <w:tc>
          <w:tcPr>
            <w:tcW w:w="2660" w:type="dxa"/>
          </w:tcPr>
          <w:p w:rsidR="00760D58" w:rsidRPr="003E1AAC" w:rsidRDefault="00760D58" w:rsidP="002053C6">
            <w:pPr>
              <w:spacing w:line="0" w:lineRule="atLeast"/>
              <w:jc w:val="right"/>
              <w:rPr>
                <w:rFonts w:ascii="StobiSansRegular" w:eastAsia="Times New Roman" w:hAnsi="StobiSansRegular" w:cs="Arial"/>
                <w:color w:val="000000"/>
                <w:lang w:eastAsia="mk-MK"/>
              </w:rPr>
            </w:pPr>
          </w:p>
          <w:p w:rsidR="00760D58" w:rsidRPr="003E1AAC" w:rsidRDefault="00760D58" w:rsidP="002053C6">
            <w:pPr>
              <w:spacing w:line="0" w:lineRule="atLeast"/>
              <w:rPr>
                <w:rFonts w:ascii="StobiSansRegular" w:eastAsia="Times New Roman" w:hAnsi="StobiSansRegular" w:cs="Arial"/>
                <w:lang w:eastAsia="mk-MK"/>
              </w:rPr>
            </w:pPr>
            <w:r w:rsidRPr="003E1AAC">
              <w:rPr>
                <w:rFonts w:ascii="StobiSansRegular" w:eastAsia="Times New Roman" w:hAnsi="StobiSansRegular" w:cs="Arial"/>
                <w:color w:val="000000"/>
                <w:lang w:eastAsia="mk-MK"/>
              </w:rPr>
              <w:t>Јавно  и Приватно Здравство </w:t>
            </w:r>
          </w:p>
        </w:tc>
        <w:tc>
          <w:tcPr>
            <w:tcW w:w="4394" w:type="dxa"/>
          </w:tcPr>
          <w:p w:rsidR="00760D58" w:rsidRPr="003E1AAC" w:rsidRDefault="00760D58" w:rsidP="002053C6">
            <w:pPr>
              <w:spacing w:line="0" w:lineRule="atLeast"/>
              <w:jc w:val="both"/>
              <w:rPr>
                <w:rFonts w:ascii="StobiSansRegular" w:eastAsia="Times New Roman" w:hAnsi="StobiSansRegular" w:cs="Arial"/>
                <w:color w:val="000000"/>
                <w:lang w:eastAsia="mk-MK"/>
              </w:rPr>
            </w:pPr>
            <w:r w:rsidRPr="003E1AAC">
              <w:rPr>
                <w:rFonts w:ascii="StobiSansRegular" w:eastAsia="Times New Roman" w:hAnsi="StobiSansRegular" w:cs="Arial"/>
                <w:color w:val="000000"/>
                <w:lang w:eastAsia="mk-MK"/>
              </w:rPr>
              <w:t>Универзитетски клиники </w:t>
            </w:r>
          </w:p>
          <w:p w:rsidR="00760D58" w:rsidRPr="003E1AAC" w:rsidRDefault="00760D58" w:rsidP="002053C6">
            <w:pPr>
              <w:rPr>
                <w:rFonts w:ascii="StobiSansRegular" w:eastAsia="Times New Roman" w:hAnsi="StobiSansRegular" w:cs="Arial"/>
                <w:color w:val="000000"/>
                <w:lang w:eastAsia="mk-MK"/>
              </w:rPr>
            </w:pPr>
            <w:r w:rsidRPr="003E1AAC">
              <w:rPr>
                <w:rFonts w:ascii="StobiSansRegular" w:eastAsia="Times New Roman" w:hAnsi="StobiSansRegular" w:cs="Arial"/>
                <w:color w:val="000000"/>
                <w:lang w:eastAsia="mk-MK"/>
              </w:rPr>
              <w:t>Општи Болници </w:t>
            </w:r>
          </w:p>
          <w:p w:rsidR="00760D58" w:rsidRPr="003E1AAC" w:rsidRDefault="00760D58" w:rsidP="002053C6">
            <w:pPr>
              <w:spacing w:line="0" w:lineRule="atLeast"/>
              <w:jc w:val="both"/>
              <w:rPr>
                <w:rFonts w:ascii="StobiSansRegular" w:eastAsia="Times New Roman" w:hAnsi="StobiSansRegular" w:cs="Arial"/>
                <w:color w:val="000000"/>
                <w:lang w:eastAsia="mk-MK"/>
              </w:rPr>
            </w:pPr>
            <w:r w:rsidRPr="003E1AAC">
              <w:rPr>
                <w:rFonts w:ascii="StobiSansRegular" w:eastAsia="Times New Roman" w:hAnsi="StobiSansRegular" w:cs="Arial"/>
                <w:color w:val="000000"/>
                <w:lang w:eastAsia="mk-MK"/>
              </w:rPr>
              <w:t>Специјални болници </w:t>
            </w:r>
          </w:p>
          <w:p w:rsidR="00760D58" w:rsidRPr="003E1AAC" w:rsidRDefault="00760D58" w:rsidP="002053C6">
            <w:pPr>
              <w:rPr>
                <w:rFonts w:ascii="StobiSansRegular" w:eastAsia="Times New Roman" w:hAnsi="StobiSansRegular" w:cs="Arial"/>
                <w:color w:val="000000"/>
                <w:lang w:eastAsia="mk-MK"/>
              </w:rPr>
            </w:pPr>
            <w:r w:rsidRPr="003E1AAC">
              <w:rPr>
                <w:rFonts w:ascii="StobiSansRegular" w:eastAsia="Times New Roman" w:hAnsi="StobiSansRegular" w:cs="Arial"/>
                <w:color w:val="000000"/>
                <w:lang w:eastAsia="mk-MK"/>
              </w:rPr>
              <w:t>Специјалистички ординации</w:t>
            </w:r>
          </w:p>
          <w:p w:rsidR="00760D58" w:rsidRPr="003E1AAC" w:rsidRDefault="00760D58" w:rsidP="002053C6">
            <w:pPr>
              <w:spacing w:line="0" w:lineRule="atLeast"/>
              <w:jc w:val="both"/>
              <w:rPr>
                <w:rFonts w:ascii="StobiSansRegular" w:eastAsia="Times New Roman" w:hAnsi="StobiSansRegular" w:cs="Arial"/>
                <w:color w:val="000000"/>
                <w:lang w:eastAsia="mk-MK"/>
              </w:rPr>
            </w:pPr>
            <w:r w:rsidRPr="003E1AAC">
              <w:rPr>
                <w:rFonts w:ascii="StobiSansRegular" w:eastAsia="Times New Roman" w:hAnsi="StobiSansRegular" w:cs="Arial"/>
                <w:color w:val="000000"/>
                <w:lang w:eastAsia="mk-MK"/>
              </w:rPr>
              <w:t>Здравствени домови </w:t>
            </w:r>
          </w:p>
          <w:p w:rsidR="00760D58" w:rsidRPr="003E1AAC" w:rsidRDefault="00760D58" w:rsidP="00A577BA">
            <w:pPr>
              <w:rPr>
                <w:rFonts w:ascii="StobiSansRegular" w:hAnsi="StobiSansRegular" w:cs="Arial"/>
              </w:rPr>
            </w:pPr>
            <w:r w:rsidRPr="003E1AAC">
              <w:rPr>
                <w:rFonts w:ascii="StobiSansRegular" w:eastAsia="Times New Roman" w:hAnsi="StobiSansRegular" w:cs="Arial"/>
                <w:color w:val="000000"/>
                <w:lang w:eastAsia="mk-MK"/>
              </w:rPr>
              <w:t>ПЗУ Стоматолошки ординации</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9</w:t>
            </w:r>
          </w:p>
          <w:p w:rsidR="00760D58" w:rsidRPr="003E1AAC" w:rsidRDefault="00760D58" w:rsidP="002053C6">
            <w:pPr>
              <w:jc w:val="center"/>
              <w:rPr>
                <w:rFonts w:ascii="StobiSansRegular" w:hAnsi="StobiSansRegular" w:cs="Arial"/>
              </w:rPr>
            </w:pPr>
            <w:r w:rsidRPr="003E1AAC">
              <w:rPr>
                <w:rFonts w:ascii="StobiSansRegular" w:hAnsi="StobiSansRegular" w:cs="Arial"/>
              </w:rPr>
              <w:t>15</w:t>
            </w:r>
          </w:p>
          <w:p w:rsidR="00760D58" w:rsidRPr="003E1AAC" w:rsidRDefault="00760D58" w:rsidP="002053C6">
            <w:pPr>
              <w:jc w:val="center"/>
              <w:rPr>
                <w:rFonts w:ascii="StobiSansRegular" w:hAnsi="StobiSansRegular" w:cs="Arial"/>
              </w:rPr>
            </w:pPr>
            <w:r w:rsidRPr="003E1AAC">
              <w:rPr>
                <w:rFonts w:ascii="StobiSansRegular" w:hAnsi="StobiSansRegular" w:cs="Arial"/>
              </w:rPr>
              <w:t>9</w:t>
            </w:r>
          </w:p>
          <w:p w:rsidR="00760D58" w:rsidRPr="003E1AAC" w:rsidRDefault="00760D58" w:rsidP="002053C6">
            <w:pPr>
              <w:jc w:val="center"/>
              <w:rPr>
                <w:rFonts w:ascii="StobiSansRegular" w:hAnsi="StobiSansRegular" w:cs="Arial"/>
              </w:rPr>
            </w:pPr>
            <w:r w:rsidRPr="003E1AAC">
              <w:rPr>
                <w:rFonts w:ascii="StobiSansRegular" w:hAnsi="StobiSansRegular" w:cs="Arial"/>
              </w:rPr>
              <w:t>14</w:t>
            </w:r>
          </w:p>
          <w:p w:rsidR="00760D58" w:rsidRPr="003E1AAC" w:rsidRDefault="00760D58" w:rsidP="002053C6">
            <w:pPr>
              <w:jc w:val="center"/>
              <w:rPr>
                <w:rFonts w:ascii="StobiSansRegular" w:hAnsi="StobiSansRegular" w:cs="Arial"/>
              </w:rPr>
            </w:pPr>
            <w:r w:rsidRPr="003E1AAC">
              <w:rPr>
                <w:rFonts w:ascii="StobiSansRegular" w:hAnsi="StobiSansRegular" w:cs="Arial"/>
              </w:rPr>
              <w:t>16</w:t>
            </w:r>
          </w:p>
          <w:p w:rsidR="00760D58" w:rsidRPr="003E1AAC" w:rsidRDefault="00760D58" w:rsidP="00A577BA">
            <w:pPr>
              <w:jc w:val="center"/>
              <w:rPr>
                <w:rFonts w:ascii="StobiSansRegular" w:hAnsi="StobiSansRegular" w:cs="Arial"/>
              </w:rPr>
            </w:pPr>
            <w:r w:rsidRPr="003E1AAC">
              <w:rPr>
                <w:rFonts w:ascii="StobiSansRegular" w:hAnsi="StobiSansRegular" w:cs="Arial"/>
              </w:rPr>
              <w:t>140</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 xml:space="preserve">2.Ветеринарна медицина </w:t>
            </w:r>
          </w:p>
        </w:tc>
        <w:tc>
          <w:tcPr>
            <w:tcW w:w="4394" w:type="dxa"/>
          </w:tcPr>
          <w:p w:rsidR="00760D58" w:rsidRPr="003E1AAC" w:rsidRDefault="00760D58" w:rsidP="002053C6">
            <w:pPr>
              <w:rPr>
                <w:rFonts w:ascii="StobiSansRegular" w:hAnsi="StobiSansRegular" w:cs="Arial"/>
              </w:rPr>
            </w:pPr>
            <w:r w:rsidRPr="003E1AAC">
              <w:rPr>
                <w:rFonts w:ascii="StobiSansRegular" w:hAnsi="StobiSansRegular" w:cs="Arial"/>
              </w:rPr>
              <w:t>Факултет Ветеринарен</w:t>
            </w:r>
          </w:p>
          <w:p w:rsidR="00760D58" w:rsidRPr="003E1AAC" w:rsidRDefault="00760D58" w:rsidP="002053C6">
            <w:pPr>
              <w:rPr>
                <w:rFonts w:ascii="StobiSansRegular" w:hAnsi="StobiSansRegular" w:cs="Arial"/>
              </w:rPr>
            </w:pPr>
            <w:r w:rsidRPr="003E1AAC">
              <w:rPr>
                <w:rFonts w:ascii="StobiSansRegular" w:hAnsi="StobiSansRegular" w:cs="Arial"/>
              </w:rPr>
              <w:t>Приватни ветеринарни  ординации</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1</w:t>
            </w:r>
          </w:p>
          <w:p w:rsidR="00760D58" w:rsidRPr="003E1AAC" w:rsidRDefault="00760D58" w:rsidP="002053C6">
            <w:pPr>
              <w:jc w:val="center"/>
              <w:rPr>
                <w:rFonts w:ascii="StobiSansRegular" w:hAnsi="StobiSansRegular" w:cs="Arial"/>
              </w:rPr>
            </w:pPr>
            <w:r w:rsidRPr="003E1AAC">
              <w:rPr>
                <w:rFonts w:ascii="StobiSansRegular" w:hAnsi="StobiSansRegular" w:cs="Arial"/>
              </w:rPr>
              <w:t>2</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3.Индустрија</w:t>
            </w:r>
          </w:p>
        </w:tc>
        <w:tc>
          <w:tcPr>
            <w:tcW w:w="4394" w:type="dxa"/>
          </w:tcPr>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Индустриска радиографија;</w:t>
            </w:r>
          </w:p>
          <w:p w:rsidR="00760D58" w:rsidRPr="003E1AAC" w:rsidRDefault="00760D58" w:rsidP="00A577BA">
            <w:pPr>
              <w:tabs>
                <w:tab w:val="left" w:pos="540"/>
              </w:tabs>
              <w:spacing w:after="60"/>
              <w:jc w:val="both"/>
              <w:rPr>
                <w:rFonts w:ascii="StobiSansRegular" w:hAnsi="StobiSansRegular" w:cs="Arial"/>
              </w:rPr>
            </w:pPr>
            <w:r w:rsidRPr="003E1AAC">
              <w:rPr>
                <w:rFonts w:ascii="StobiSansRegular" w:hAnsi="StobiSansRegular" w:cs="Times New Roman"/>
              </w:rPr>
              <w:t>Производство и обработка на        метал, лим, цигари прехрамбена индустрија</w:t>
            </w:r>
          </w:p>
          <w:p w:rsidR="00760D58" w:rsidRPr="003E1AAC" w:rsidRDefault="00760D58" w:rsidP="00A577BA">
            <w:pPr>
              <w:rPr>
                <w:rFonts w:ascii="StobiSansRegular" w:hAnsi="StobiSansRegular" w:cs="Arial"/>
              </w:rPr>
            </w:pPr>
            <w:r w:rsidRPr="003E1AAC">
              <w:rPr>
                <w:rFonts w:ascii="StobiSansRegular" w:hAnsi="StobiSansRegular" w:cs="Arial"/>
              </w:rPr>
              <w:t>Радиоактивни громобрани (Правни лица)</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7</w:t>
            </w:r>
          </w:p>
          <w:p w:rsidR="00760D58" w:rsidRPr="003E1AAC" w:rsidRDefault="00760D58" w:rsidP="002053C6">
            <w:pPr>
              <w:jc w:val="center"/>
              <w:rPr>
                <w:rFonts w:ascii="StobiSansRegular" w:hAnsi="StobiSansRegular" w:cs="Arial"/>
              </w:rPr>
            </w:pPr>
            <w:r w:rsidRPr="003E1AAC">
              <w:rPr>
                <w:rFonts w:ascii="StobiSansRegular" w:hAnsi="StobiSansRegular" w:cs="Arial"/>
              </w:rPr>
              <w:t>6</w:t>
            </w: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r w:rsidRPr="003E1AAC">
              <w:rPr>
                <w:rFonts w:ascii="StobiSansRegular" w:hAnsi="StobiSansRegular" w:cs="Arial"/>
              </w:rPr>
              <w:t>108</w:t>
            </w:r>
          </w:p>
          <w:p w:rsidR="00760D58" w:rsidRPr="003E1AAC" w:rsidRDefault="00760D58" w:rsidP="002053C6">
            <w:pPr>
              <w:jc w:val="center"/>
              <w:rPr>
                <w:rFonts w:ascii="StobiSansRegular" w:hAnsi="StobiSansRegular" w:cs="Arial"/>
              </w:rPr>
            </w:pP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4. Транспорт и транзит</w:t>
            </w:r>
          </w:p>
        </w:tc>
        <w:tc>
          <w:tcPr>
            <w:tcW w:w="4394" w:type="dxa"/>
          </w:tcPr>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Транспорт за сопствени потреби (индустриска радиографија);</w:t>
            </w:r>
          </w:p>
          <w:p w:rsidR="00760D58" w:rsidRPr="003E1AAC" w:rsidRDefault="00760D58" w:rsidP="00A577BA">
            <w:pPr>
              <w:tabs>
                <w:tab w:val="left" w:pos="540"/>
              </w:tabs>
              <w:spacing w:after="60"/>
              <w:jc w:val="both"/>
              <w:rPr>
                <w:rFonts w:ascii="StobiSansRegular" w:hAnsi="StobiSansRegular" w:cs="Times New Roman"/>
              </w:rPr>
            </w:pPr>
            <w:r w:rsidRPr="003E1AAC">
              <w:rPr>
                <w:rFonts w:ascii="StobiSansRegular" w:hAnsi="StobiSansRegular" w:cs="Times New Roman"/>
              </w:rPr>
              <w:t>Транспорт за други правни лица           (нуклеарна медицина,ПЕТ/ЦТ, брахитерапија)</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7</w:t>
            </w: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r w:rsidRPr="003E1AAC">
              <w:rPr>
                <w:rFonts w:ascii="StobiSansRegular" w:hAnsi="StobiSansRegular" w:cs="Arial"/>
              </w:rPr>
              <w:t>2</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5. Производство</w:t>
            </w:r>
          </w:p>
        </w:tc>
        <w:tc>
          <w:tcPr>
            <w:tcW w:w="4394" w:type="dxa"/>
          </w:tcPr>
          <w:p w:rsidR="00760D58" w:rsidRPr="003E1AAC" w:rsidRDefault="00760D58" w:rsidP="00A577BA">
            <w:pPr>
              <w:tabs>
                <w:tab w:val="left" w:pos="540"/>
              </w:tabs>
              <w:spacing w:after="60"/>
              <w:jc w:val="both"/>
              <w:rPr>
                <w:rFonts w:ascii="StobiSansRegular" w:eastAsia="Times New Roman" w:hAnsi="StobiSansRegular" w:cs="Arial"/>
                <w:lang w:eastAsia="mk-MK"/>
              </w:rPr>
            </w:pPr>
            <w:r w:rsidRPr="003E1AAC">
              <w:rPr>
                <w:rFonts w:ascii="StobiSansRegular" w:hAnsi="StobiSansRegular" w:cs="Times New Roman"/>
              </w:rPr>
              <w:t>Производствона радиофармацефтици F18 и други;</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1</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6. Складирање на радиоактивен отпад</w:t>
            </w:r>
          </w:p>
        </w:tc>
        <w:tc>
          <w:tcPr>
            <w:tcW w:w="4394" w:type="dxa"/>
          </w:tcPr>
          <w:p w:rsidR="00760D58" w:rsidRPr="003E1AAC" w:rsidRDefault="00760D58" w:rsidP="00A577BA">
            <w:pPr>
              <w:tabs>
                <w:tab w:val="left" w:pos="540"/>
              </w:tabs>
              <w:spacing w:after="60"/>
              <w:jc w:val="both"/>
              <w:rPr>
                <w:rFonts w:ascii="StobiSansRegular" w:hAnsi="StobiSansRegular" w:cs="Arial"/>
              </w:rPr>
            </w:pPr>
            <w:r w:rsidRPr="003E1AAC">
              <w:rPr>
                <w:rFonts w:ascii="StobiSansRegular" w:hAnsi="StobiSansRegular" w:cs="Times New Roman"/>
              </w:rPr>
              <w:t>Привремени складишта за складирање на радиоактивен отпад и потрошени радиоактивни извори</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15</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7. Увоз и извоз</w:t>
            </w:r>
          </w:p>
        </w:tc>
        <w:tc>
          <w:tcPr>
            <w:tcW w:w="4394" w:type="dxa"/>
          </w:tcPr>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Нуклеарна медицина ( Mo/Tc, I131)</w:t>
            </w:r>
          </w:p>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ПЕТ/ЦТ (F18)</w:t>
            </w:r>
          </w:p>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Брахитерапија (Ir192)</w:t>
            </w:r>
          </w:p>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Индустрија</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12</w:t>
            </w:r>
          </w:p>
          <w:p w:rsidR="00760D58" w:rsidRPr="003E1AAC" w:rsidRDefault="00760D58" w:rsidP="002053C6">
            <w:pPr>
              <w:jc w:val="center"/>
              <w:rPr>
                <w:rFonts w:ascii="StobiSansRegular" w:hAnsi="StobiSansRegular" w:cs="Arial"/>
              </w:rPr>
            </w:pPr>
          </w:p>
          <w:p w:rsidR="00760D58" w:rsidRDefault="00760D58" w:rsidP="002053C6">
            <w:pPr>
              <w:jc w:val="center"/>
              <w:rPr>
                <w:rFonts w:asciiTheme="minorHAnsi" w:hAnsiTheme="minorHAnsi" w:cs="Arial"/>
                <w:lang w:val="en-GB"/>
              </w:rPr>
            </w:pPr>
            <w:r w:rsidRPr="003E1AAC">
              <w:rPr>
                <w:rFonts w:ascii="StobiSansRegular" w:hAnsi="StobiSansRegular" w:cs="Arial"/>
              </w:rPr>
              <w:t>1</w:t>
            </w:r>
          </w:p>
          <w:p w:rsidR="00A577BA" w:rsidRPr="00A577BA" w:rsidRDefault="00A577BA" w:rsidP="002053C6">
            <w:pPr>
              <w:jc w:val="center"/>
              <w:rPr>
                <w:rFonts w:asciiTheme="minorHAnsi" w:hAnsiTheme="minorHAnsi" w:cs="Arial"/>
                <w:lang w:val="en-GB"/>
              </w:rPr>
            </w:pPr>
          </w:p>
          <w:p w:rsidR="00760D58" w:rsidRPr="003E1AAC" w:rsidRDefault="00760D58" w:rsidP="002053C6">
            <w:pPr>
              <w:jc w:val="center"/>
              <w:rPr>
                <w:rFonts w:ascii="StobiSansRegular" w:hAnsi="StobiSansRegular" w:cs="Arial"/>
              </w:rPr>
            </w:pPr>
            <w:r w:rsidRPr="003E1AAC">
              <w:rPr>
                <w:rFonts w:ascii="StobiSansRegular" w:hAnsi="StobiSansRegular" w:cs="Arial"/>
              </w:rPr>
              <w:t>7</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8. Безбедносен систем</w:t>
            </w:r>
          </w:p>
        </w:tc>
        <w:tc>
          <w:tcPr>
            <w:tcW w:w="4394" w:type="dxa"/>
          </w:tcPr>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Поголеми гранични премини за патнички и товарен сообраќај</w:t>
            </w:r>
          </w:p>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Карго магацин ( аеродром)</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10</w:t>
            </w: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r w:rsidRPr="003E1AAC">
              <w:rPr>
                <w:rFonts w:ascii="StobiSansRegular" w:hAnsi="StobiSansRegular" w:cs="Arial"/>
              </w:rPr>
              <w:t>1</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t>9. Технички сервиси</w:t>
            </w:r>
          </w:p>
        </w:tc>
        <w:tc>
          <w:tcPr>
            <w:tcW w:w="4394" w:type="dxa"/>
          </w:tcPr>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Сервиси за мониторинг на работна и животна средина;</w:t>
            </w:r>
          </w:p>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Сервиси за контрола на квалитет</w:t>
            </w:r>
          </w:p>
          <w:p w:rsidR="00760D58" w:rsidRPr="003E1AAC" w:rsidRDefault="00760D58" w:rsidP="002053C6">
            <w:pPr>
              <w:spacing w:line="0" w:lineRule="atLeast"/>
              <w:jc w:val="both"/>
              <w:rPr>
                <w:rFonts w:ascii="StobiSansRegular" w:hAnsi="StobiSansRegular" w:cs="Times New Roman"/>
              </w:rPr>
            </w:pPr>
            <w:r w:rsidRPr="003E1AAC">
              <w:rPr>
                <w:rFonts w:ascii="StobiSansRegular" w:hAnsi="StobiSansRegular" w:cs="Times New Roman"/>
              </w:rPr>
              <w:t>Сервиси за инсталација на извори на јонизирачко зрачење;</w:t>
            </w:r>
          </w:p>
          <w:p w:rsidR="00760D58" w:rsidRPr="003E1AAC" w:rsidRDefault="00760D58" w:rsidP="002053C6">
            <w:pPr>
              <w:spacing w:line="0" w:lineRule="atLeast"/>
              <w:jc w:val="both"/>
              <w:rPr>
                <w:rFonts w:ascii="StobiSansRegular" w:hAnsi="StobiSansRegular" w:cs="Times New Roman"/>
              </w:rPr>
            </w:pPr>
          </w:p>
          <w:p w:rsidR="00760D58" w:rsidRPr="003E1AAC" w:rsidRDefault="00760D58" w:rsidP="00A577BA">
            <w:pPr>
              <w:tabs>
                <w:tab w:val="left" w:pos="540"/>
              </w:tabs>
              <w:spacing w:after="60"/>
              <w:jc w:val="both"/>
              <w:rPr>
                <w:rFonts w:ascii="StobiSansRegular" w:hAnsi="StobiSansRegular" w:cs="Times New Roman"/>
              </w:rPr>
            </w:pPr>
            <w:r w:rsidRPr="003E1AAC">
              <w:rPr>
                <w:rFonts w:ascii="StobiSansRegular" w:hAnsi="StobiSansRegular" w:cs="Times New Roman"/>
              </w:rPr>
              <w:t>Сервиси за вршење на лекарски прегледи за лица кои работат со извори на јонизирачко зрачење;</w:t>
            </w:r>
          </w:p>
        </w:tc>
        <w:tc>
          <w:tcPr>
            <w:tcW w:w="2188" w:type="dxa"/>
          </w:tcPr>
          <w:p w:rsidR="00760D58" w:rsidRDefault="00A577BA" w:rsidP="00A577BA">
            <w:pPr>
              <w:rPr>
                <w:rFonts w:asciiTheme="minorHAnsi" w:hAnsiTheme="minorHAnsi" w:cs="Arial"/>
                <w:lang w:val="en-GB"/>
              </w:rPr>
            </w:pPr>
            <w:r>
              <w:rPr>
                <w:rFonts w:asciiTheme="minorHAnsi" w:hAnsiTheme="minorHAnsi" w:cs="Arial"/>
                <w:lang w:val="en-GB"/>
              </w:rPr>
              <w:lastRenderedPageBreak/>
              <w:t xml:space="preserve">                 </w:t>
            </w:r>
          </w:p>
          <w:p w:rsidR="00A577BA" w:rsidRPr="003E1AAC" w:rsidRDefault="00A577BA" w:rsidP="00A577BA">
            <w:pPr>
              <w:rPr>
                <w:rFonts w:ascii="StobiSansRegular" w:hAnsi="StobiSansRegular" w:cs="Arial"/>
              </w:rPr>
            </w:pPr>
            <w:r>
              <w:rPr>
                <w:rFonts w:asciiTheme="minorHAnsi" w:hAnsiTheme="minorHAnsi" w:cs="Arial"/>
                <w:lang w:val="en-GB"/>
              </w:rPr>
              <w:t xml:space="preserve">                   3</w:t>
            </w: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p>
          <w:p w:rsidR="00760D58" w:rsidRPr="003E1AAC" w:rsidRDefault="00760D58" w:rsidP="002053C6">
            <w:pPr>
              <w:jc w:val="center"/>
              <w:rPr>
                <w:rFonts w:ascii="StobiSansRegular" w:hAnsi="StobiSansRegular" w:cs="Arial"/>
              </w:rPr>
            </w:pPr>
          </w:p>
          <w:p w:rsidR="00760D58" w:rsidRPr="00A577BA" w:rsidRDefault="00760D58" w:rsidP="002053C6">
            <w:pPr>
              <w:jc w:val="center"/>
              <w:rPr>
                <w:rFonts w:asciiTheme="minorHAnsi" w:hAnsiTheme="minorHAnsi" w:cs="Arial"/>
                <w:lang w:val="en-GB"/>
              </w:rPr>
            </w:pPr>
          </w:p>
          <w:p w:rsidR="00760D58" w:rsidRPr="003E1AAC" w:rsidRDefault="00A577BA" w:rsidP="00A577BA">
            <w:pPr>
              <w:rPr>
                <w:rFonts w:ascii="StobiSansRegular" w:hAnsi="StobiSansRegular" w:cs="Arial"/>
              </w:rPr>
            </w:pPr>
            <w:r>
              <w:rPr>
                <w:rFonts w:asciiTheme="minorHAnsi" w:hAnsiTheme="minorHAnsi" w:cs="Arial"/>
                <w:lang w:val="en-GB"/>
              </w:rPr>
              <w:t xml:space="preserve">              </w:t>
            </w:r>
            <w:r w:rsidR="00760D58" w:rsidRPr="003E1AAC">
              <w:rPr>
                <w:rFonts w:ascii="StobiSansRegular" w:hAnsi="StobiSansRegular" w:cs="Arial"/>
              </w:rPr>
              <w:t>10</w:t>
            </w:r>
          </w:p>
        </w:tc>
      </w:tr>
      <w:tr w:rsidR="00760D58" w:rsidRPr="003E1AAC" w:rsidTr="002053C6">
        <w:tc>
          <w:tcPr>
            <w:tcW w:w="2660" w:type="dxa"/>
            <w:vAlign w:val="center"/>
          </w:tcPr>
          <w:p w:rsidR="00760D58" w:rsidRPr="003E1AAC" w:rsidRDefault="00760D58" w:rsidP="002053C6">
            <w:pPr>
              <w:rPr>
                <w:rFonts w:ascii="StobiSansRegular" w:eastAsia="Times New Roman" w:hAnsi="StobiSansRegular" w:cs="Arial"/>
                <w:lang w:eastAsia="mk-MK"/>
              </w:rPr>
            </w:pPr>
            <w:r w:rsidRPr="003E1AAC">
              <w:rPr>
                <w:rFonts w:ascii="StobiSansRegular" w:eastAsia="Times New Roman" w:hAnsi="StobiSansRegular" w:cs="Arial"/>
                <w:lang w:eastAsia="mk-MK"/>
              </w:rPr>
              <w:lastRenderedPageBreak/>
              <w:t>10. Научно и едукативни цели</w:t>
            </w:r>
          </w:p>
        </w:tc>
        <w:tc>
          <w:tcPr>
            <w:tcW w:w="4394" w:type="dxa"/>
          </w:tcPr>
          <w:p w:rsidR="00760D58" w:rsidRPr="003E1AAC" w:rsidRDefault="00760D58" w:rsidP="002053C6">
            <w:pPr>
              <w:tabs>
                <w:tab w:val="left" w:pos="540"/>
              </w:tabs>
              <w:spacing w:after="60"/>
              <w:jc w:val="both"/>
              <w:rPr>
                <w:rFonts w:ascii="StobiSansRegular" w:hAnsi="StobiSansRegular" w:cs="Times New Roman"/>
              </w:rPr>
            </w:pPr>
            <w:r w:rsidRPr="003E1AAC">
              <w:rPr>
                <w:rFonts w:ascii="StobiSansRegular" w:hAnsi="StobiSansRegular" w:cs="Times New Roman"/>
              </w:rPr>
              <w:t>МАНУ</w:t>
            </w:r>
          </w:p>
          <w:p w:rsidR="00760D58" w:rsidRPr="003E1AAC" w:rsidRDefault="00760D58" w:rsidP="00A577BA">
            <w:pPr>
              <w:tabs>
                <w:tab w:val="left" w:pos="540"/>
              </w:tabs>
              <w:spacing w:after="60"/>
              <w:jc w:val="both"/>
              <w:rPr>
                <w:rFonts w:ascii="StobiSansRegular" w:hAnsi="StobiSansRegular" w:cs="Times New Roman"/>
              </w:rPr>
            </w:pPr>
            <w:r w:rsidRPr="003E1AAC">
              <w:rPr>
                <w:rFonts w:ascii="StobiSansRegular" w:hAnsi="StobiSansRegular" w:cs="Times New Roman"/>
              </w:rPr>
              <w:t>Високо образовни институции</w:t>
            </w:r>
          </w:p>
        </w:tc>
        <w:tc>
          <w:tcPr>
            <w:tcW w:w="2188" w:type="dxa"/>
          </w:tcPr>
          <w:p w:rsidR="00760D58" w:rsidRPr="003E1AAC" w:rsidRDefault="00760D58" w:rsidP="002053C6">
            <w:pPr>
              <w:jc w:val="center"/>
              <w:rPr>
                <w:rFonts w:ascii="StobiSansRegular" w:hAnsi="StobiSansRegular" w:cs="Arial"/>
              </w:rPr>
            </w:pPr>
            <w:r w:rsidRPr="003E1AAC">
              <w:rPr>
                <w:rFonts w:ascii="StobiSansRegular" w:hAnsi="StobiSansRegular" w:cs="Arial"/>
              </w:rPr>
              <w:t>1</w:t>
            </w:r>
          </w:p>
          <w:p w:rsidR="00760D58" w:rsidRPr="003E1AAC" w:rsidRDefault="00760D58" w:rsidP="002053C6">
            <w:pPr>
              <w:jc w:val="center"/>
              <w:rPr>
                <w:rFonts w:ascii="StobiSansRegular" w:hAnsi="StobiSansRegular" w:cs="Arial"/>
              </w:rPr>
            </w:pPr>
            <w:r w:rsidRPr="003E1AAC">
              <w:rPr>
                <w:rFonts w:ascii="StobiSansRegular" w:hAnsi="StobiSansRegular" w:cs="Arial"/>
              </w:rPr>
              <w:t>5</w:t>
            </w:r>
          </w:p>
        </w:tc>
      </w:tr>
    </w:tbl>
    <w:p w:rsidR="00760D58" w:rsidRPr="00FB368B" w:rsidRDefault="00221378" w:rsidP="00500B8D">
      <w:pPr>
        <w:pStyle w:val="Obr-Naslov1"/>
        <w:rPr>
          <w:rFonts w:ascii="StobiSans Regular" w:hAnsi="StobiSans Regular"/>
        </w:rPr>
      </w:pPr>
      <w:r w:rsidRPr="00FB368B">
        <w:rPr>
          <w:rFonts w:ascii="StobiSans Regular" w:hAnsi="StobiSans Regular"/>
        </w:rPr>
        <w:t xml:space="preserve">Согласно направената анализа на ризик во претходно подготвената </w:t>
      </w:r>
      <w:r w:rsidR="00C81A9A" w:rsidRPr="00FB368B">
        <w:rPr>
          <w:rFonts w:ascii="StobiSans Regular" w:hAnsi="StobiSans Regular"/>
        </w:rPr>
        <w:t xml:space="preserve">Методологијата </w:t>
      </w:r>
      <w:r w:rsidRPr="00FB368B">
        <w:rPr>
          <w:rFonts w:ascii="StobiSans Regular" w:hAnsi="StobiSans Regular"/>
        </w:rPr>
        <w:t>,</w:t>
      </w:r>
      <w:r w:rsidR="00C81A9A" w:rsidRPr="00FB368B">
        <w:rPr>
          <w:rFonts w:ascii="StobiSans Regular" w:hAnsi="StobiSans Regular"/>
        </w:rPr>
        <w:t xml:space="preserve"> правните лица кои </w:t>
      </w:r>
      <w:r w:rsidR="006C0E92">
        <w:rPr>
          <w:rFonts w:ascii="StobiSans Regular" w:hAnsi="StobiSans Regular"/>
        </w:rPr>
        <w:t xml:space="preserve">ќе </w:t>
      </w:r>
      <w:r w:rsidR="00865722">
        <w:rPr>
          <w:rFonts w:ascii="StobiSans Regular" w:hAnsi="StobiSans Regular"/>
        </w:rPr>
        <w:t>бидат</w:t>
      </w:r>
      <w:r w:rsidR="00C81A9A" w:rsidRPr="00FB368B">
        <w:rPr>
          <w:rFonts w:ascii="StobiSans Regular" w:hAnsi="StobiSans Regular"/>
        </w:rPr>
        <w:t xml:space="preserve"> </w:t>
      </w:r>
      <w:r w:rsidR="00BD6B80" w:rsidRPr="00FB368B">
        <w:rPr>
          <w:rFonts w:ascii="StobiSans Regular" w:hAnsi="StobiSans Regular"/>
        </w:rPr>
        <w:t>предмет на надзор од страна на инспекторите</w:t>
      </w:r>
      <w:r w:rsidRPr="00FB368B">
        <w:rPr>
          <w:rFonts w:ascii="StobiSans Regular" w:hAnsi="StobiSans Regular"/>
        </w:rPr>
        <w:t xml:space="preserve"> </w:t>
      </w:r>
      <w:r w:rsidR="00BD6B80" w:rsidRPr="00FB368B">
        <w:rPr>
          <w:rFonts w:ascii="StobiSans Regular" w:hAnsi="StobiSans Regular"/>
        </w:rPr>
        <w:t xml:space="preserve"> </w:t>
      </w:r>
      <w:r w:rsidR="00865722">
        <w:rPr>
          <w:rFonts w:ascii="StobiSans Regular" w:hAnsi="StobiSans Regular"/>
        </w:rPr>
        <w:t xml:space="preserve">во 2021 година </w:t>
      </w:r>
      <w:r w:rsidR="00BD6B80" w:rsidRPr="00FB368B">
        <w:rPr>
          <w:rFonts w:ascii="StobiSans Regular" w:hAnsi="StobiSans Regular"/>
        </w:rPr>
        <w:t xml:space="preserve">се класифицирани во </w:t>
      </w:r>
    </w:p>
    <w:p w:rsidR="001D74EE" w:rsidRPr="00FB368B" w:rsidRDefault="00BD6B80" w:rsidP="001D74EE">
      <w:pPr>
        <w:pStyle w:val="Obr-Naslov1"/>
        <w:numPr>
          <w:ilvl w:val="0"/>
          <w:numId w:val="25"/>
        </w:numPr>
        <w:rPr>
          <w:rFonts w:ascii="StobiSans Regular" w:hAnsi="StobiSans Regular"/>
        </w:rPr>
      </w:pPr>
      <w:r w:rsidRPr="00FB368B">
        <w:rPr>
          <w:rFonts w:ascii="StobiSans Regular" w:hAnsi="StobiSans Regular"/>
        </w:rPr>
        <w:t>Правни субјекти кај кои постои висок ризик и кај кои ќе се врши инспекциски надзор најмалку 1 во текот на една календарска година. Во оваа категорија влегуваат</w:t>
      </w:r>
    </w:p>
    <w:p w:rsidR="001D74EE" w:rsidRPr="00FB368B" w:rsidRDefault="00221378" w:rsidP="00FB368B">
      <w:pPr>
        <w:pStyle w:val="Obr-Naslov1"/>
        <w:numPr>
          <w:ilvl w:val="0"/>
          <w:numId w:val="23"/>
        </w:numPr>
        <w:rPr>
          <w:rFonts w:ascii="StobiSans Regular" w:hAnsi="StobiSans Regular"/>
          <w:lang w:val="en-GB"/>
        </w:rPr>
      </w:pPr>
      <w:r w:rsidRPr="00FB368B">
        <w:rPr>
          <w:rFonts w:ascii="StobiSans Regular" w:hAnsi="StobiSans Regular"/>
        </w:rPr>
        <w:t>Правни лица кои вршат увоз- извоз на радиоактивни извори</w:t>
      </w:r>
    </w:p>
    <w:p w:rsidR="00FB368B" w:rsidRDefault="00FB368B" w:rsidP="00221378">
      <w:pPr>
        <w:pStyle w:val="Obr-Naslov1"/>
        <w:ind w:left="0"/>
        <w:rPr>
          <w:rFonts w:ascii="StobiSans Regular" w:hAnsi="StobiSans Regular"/>
        </w:rPr>
      </w:pPr>
      <w:r w:rsidRPr="00FB368B">
        <w:rPr>
          <w:rFonts w:ascii="StobiSans Regular" w:hAnsi="StobiSans Regular"/>
        </w:rPr>
        <w:t>Бројот на правни субјекти кои вршат увоз-извоз на радиоактивни извори  и кај кои ќе се врши најмалку 1 инспекциски надзор годишно е</w:t>
      </w:r>
      <w:r w:rsidR="0066003A">
        <w:rPr>
          <w:rFonts w:ascii="StobiSans Regular" w:hAnsi="StobiSans Regular"/>
        </w:rPr>
        <w:t xml:space="preserve"> 10</w:t>
      </w:r>
      <w:r w:rsidRPr="00FB368B">
        <w:rPr>
          <w:rFonts w:ascii="StobiSans Regular" w:hAnsi="StobiSans Regular"/>
        </w:rPr>
        <w:t>.</w:t>
      </w:r>
    </w:p>
    <w:p w:rsidR="002053C6" w:rsidRPr="00087EF8" w:rsidRDefault="002053C6" w:rsidP="002053C6">
      <w:pPr>
        <w:pStyle w:val="ListParagraph"/>
        <w:numPr>
          <w:ilvl w:val="0"/>
          <w:numId w:val="23"/>
        </w:numPr>
        <w:rPr>
          <w:lang w:val="en-GB"/>
        </w:rPr>
      </w:pPr>
      <w:r>
        <w:t>Правни лица кои вршат транспорт на радиоактивни извори</w:t>
      </w:r>
    </w:p>
    <w:p w:rsidR="002053C6" w:rsidRDefault="002053C6" w:rsidP="002053C6">
      <w:pPr>
        <w:pStyle w:val="Obr-Naslov1"/>
        <w:rPr>
          <w:rFonts w:ascii="StobiSans Regular" w:hAnsi="StobiSans Regular"/>
          <w:lang w:val="en-GB"/>
        </w:rPr>
      </w:pPr>
      <w:r w:rsidRPr="002053C6">
        <w:rPr>
          <w:rFonts w:ascii="StobiSans Regular" w:hAnsi="StobiSans Regular"/>
        </w:rPr>
        <w:t>Бројот на  правните лица кои вршат транспорт на радиоактивни извори за свои и за по</w:t>
      </w:r>
      <w:r w:rsidR="00A577BA">
        <w:rPr>
          <w:rFonts w:ascii="StobiSans Regular" w:hAnsi="StobiSans Regular"/>
        </w:rPr>
        <w:t xml:space="preserve">требите на други правни лица е </w:t>
      </w:r>
      <w:r w:rsidR="00002892">
        <w:rPr>
          <w:rFonts w:ascii="StobiSans Regular" w:hAnsi="StobiSans Regular"/>
          <w:lang w:val="en-GB"/>
        </w:rPr>
        <w:t>6</w:t>
      </w:r>
      <w:r w:rsidRPr="002053C6">
        <w:rPr>
          <w:rFonts w:ascii="StobiSans Regular" w:hAnsi="StobiSans Regular"/>
        </w:rPr>
        <w:t xml:space="preserve"> и кај истите се врши најмалку 2 инспекциски надзори во текот на 1 календарска година. Вкупно 12.</w:t>
      </w:r>
    </w:p>
    <w:p w:rsidR="00CE1219" w:rsidRDefault="00FB368B" w:rsidP="00CE1219">
      <w:pPr>
        <w:pStyle w:val="ListParagraph"/>
        <w:numPr>
          <w:ilvl w:val="0"/>
          <w:numId w:val="23"/>
        </w:numPr>
      </w:pPr>
      <w:r>
        <w:t>Правни лица кои вршат дејност со р</w:t>
      </w:r>
      <w:r w:rsidR="00CE1219">
        <w:t>адиоактивни извори</w:t>
      </w:r>
    </w:p>
    <w:p w:rsidR="00CE1219" w:rsidRDefault="00500B8D" w:rsidP="00CE1219">
      <w:r>
        <w:t>Бројо</w:t>
      </w:r>
      <w:r w:rsidR="00CE1219">
        <w:t>т на правни субјекти кои вршат дејност со радиоактивни извори од втора и трета категорија и кај кои ќе се врши најмалку по еден надзор годишно е 10.</w:t>
      </w:r>
    </w:p>
    <w:p w:rsidR="00CE1219" w:rsidRDefault="00F45DC3" w:rsidP="00CE1219">
      <w:pPr>
        <w:pStyle w:val="ListParagraph"/>
        <w:numPr>
          <w:ilvl w:val="0"/>
          <w:numId w:val="23"/>
        </w:numPr>
      </w:pPr>
      <w:r>
        <w:t>Правни лица кои вршат дејност со и</w:t>
      </w:r>
      <w:r w:rsidR="00CE1219">
        <w:t>звори на јонизирачко зрачење</w:t>
      </w:r>
      <w:r>
        <w:t xml:space="preserve"> </w:t>
      </w:r>
      <w:r w:rsidR="00CE1219">
        <w:t xml:space="preserve"> (рентген апарати</w:t>
      </w:r>
      <w:r w:rsidR="007730AC">
        <w:t xml:space="preserve">- акцелератор, компјутерски томограф, ангиограф, </w:t>
      </w:r>
      <w:r w:rsidR="007730AC">
        <w:rPr>
          <w:lang w:val="en-GB"/>
        </w:rPr>
        <w:t xml:space="preserve">PET-CT  </w:t>
      </w:r>
      <w:r w:rsidR="007730AC">
        <w:t xml:space="preserve">и </w:t>
      </w:r>
      <w:r w:rsidR="007730AC">
        <w:rPr>
          <w:lang w:val="en-GB"/>
        </w:rPr>
        <w:t>SPEKT - CT</w:t>
      </w:r>
      <w:r w:rsidR="00CE1219">
        <w:t>)</w:t>
      </w:r>
    </w:p>
    <w:p w:rsidR="00CE1219" w:rsidRDefault="00CE1219" w:rsidP="00CE1219">
      <w:r>
        <w:t>Бројот на правни субјекти к</w:t>
      </w:r>
      <w:r w:rsidR="00AD1C1F">
        <w:t>ои вршат дејност со генератори</w:t>
      </w:r>
      <w:r>
        <w:t xml:space="preserve"> на јонизирачко зрачење  и кај кои ќе се врши најмалку по 1 надзор во те</w:t>
      </w:r>
      <w:r w:rsidR="007730AC">
        <w:t xml:space="preserve">кот на 1 календарска година е </w:t>
      </w:r>
      <w:r w:rsidR="0066003A">
        <w:t>32</w:t>
      </w:r>
      <w:r>
        <w:t>.</w:t>
      </w:r>
    </w:p>
    <w:p w:rsidR="00F45DC3" w:rsidRPr="00F45DC3" w:rsidRDefault="00F45DC3" w:rsidP="00F45DC3">
      <w:pPr>
        <w:pStyle w:val="ListParagraph"/>
        <w:numPr>
          <w:ilvl w:val="0"/>
          <w:numId w:val="23"/>
        </w:numPr>
        <w:rPr>
          <w:lang w:val="en-GB"/>
        </w:rPr>
      </w:pPr>
      <w:r>
        <w:t>Правни лица кои вршат дејност – управување со радиоактивен отпад ( привремени складишта со број на искористени извори поголем од 50)</w:t>
      </w:r>
    </w:p>
    <w:p w:rsidR="00F45DC3" w:rsidRPr="00F45DC3" w:rsidRDefault="00F45DC3" w:rsidP="00F45DC3">
      <w:pPr>
        <w:rPr>
          <w:lang w:val="en-GB"/>
        </w:rPr>
      </w:pPr>
      <w:r>
        <w:lastRenderedPageBreak/>
        <w:t>Бројот на правни лица кои вршат дејност –привремени складишта и кај кои ќе се врши најмалку по 1 инспекциски надзор во текот на 1 календарска година  е 5.</w:t>
      </w:r>
    </w:p>
    <w:p w:rsidR="002053C6" w:rsidRPr="00F45DC3" w:rsidRDefault="002053C6" w:rsidP="002053C6">
      <w:pPr>
        <w:pStyle w:val="ListParagraph"/>
        <w:numPr>
          <w:ilvl w:val="0"/>
          <w:numId w:val="25"/>
        </w:numPr>
      </w:pPr>
      <w:r>
        <w:t xml:space="preserve">Правни лица кај кои постои среден ризик  и кај кои се врши по еден инспекциски надзор во текот на две години, Во оваа категорија </w:t>
      </w:r>
      <w:r w:rsidR="00F45DC3">
        <w:t>припаѓаат</w:t>
      </w:r>
      <w:r w:rsidR="00F45DC3">
        <w:rPr>
          <w:lang w:val="en-GB"/>
        </w:rPr>
        <w:t>:</w:t>
      </w:r>
    </w:p>
    <w:p w:rsidR="00F45DC3" w:rsidRDefault="00F45DC3" w:rsidP="00F45DC3">
      <w:pPr>
        <w:pStyle w:val="ListParagraph"/>
        <w:ind w:left="927"/>
      </w:pPr>
    </w:p>
    <w:p w:rsidR="007730AC" w:rsidRDefault="007730AC" w:rsidP="007730AC">
      <w:pPr>
        <w:pStyle w:val="ListParagraph"/>
        <w:numPr>
          <w:ilvl w:val="0"/>
          <w:numId w:val="23"/>
        </w:numPr>
      </w:pPr>
      <w:r>
        <w:t>Правни лица кои вршат дејност со извори на јонизирачко зрачење  (рентген апарати класична радиографија и радиоскопија)</w:t>
      </w:r>
    </w:p>
    <w:p w:rsidR="007730AC" w:rsidRPr="007A5059" w:rsidRDefault="007730AC" w:rsidP="007730AC">
      <w:pPr>
        <w:pStyle w:val="ListParagraph"/>
        <w:ind w:left="907"/>
      </w:pPr>
      <w:r>
        <w:t xml:space="preserve">Бројот на правни лица </w:t>
      </w:r>
      <w:r w:rsidR="001D0151">
        <w:t xml:space="preserve"> е 30</w:t>
      </w:r>
      <w:r w:rsidR="007A5059">
        <w:rPr>
          <w:lang w:val="en-GB"/>
        </w:rPr>
        <w:t xml:space="preserve">. </w:t>
      </w:r>
      <w:r w:rsidR="007A5059">
        <w:t>Во 2021г година се планирани 15 инспекциски надзори.</w:t>
      </w:r>
    </w:p>
    <w:p w:rsidR="001D0151" w:rsidRPr="00F45DC3" w:rsidRDefault="001D0151" w:rsidP="001D0151">
      <w:pPr>
        <w:pStyle w:val="ListParagraph"/>
        <w:numPr>
          <w:ilvl w:val="0"/>
          <w:numId w:val="23"/>
        </w:numPr>
        <w:rPr>
          <w:lang w:val="en-GB"/>
        </w:rPr>
      </w:pPr>
      <w:r>
        <w:t>Правни лица кои вршат дејност – управување со радиоактивен отпад ( привремени складишта со број на искористени извори поголем од 10, а помал од 50)</w:t>
      </w:r>
    </w:p>
    <w:p w:rsidR="001D0151" w:rsidRDefault="001D0151" w:rsidP="007730AC">
      <w:pPr>
        <w:pStyle w:val="ListParagraph"/>
        <w:ind w:left="907"/>
      </w:pPr>
      <w:r>
        <w:t>Бројот на правни лица е 2</w:t>
      </w:r>
      <w:r w:rsidR="007A5059">
        <w:t>. Во 2021 година не е планиран ниту еден инспекциски надзор.</w:t>
      </w:r>
    </w:p>
    <w:p w:rsidR="001D0151" w:rsidRDefault="00E35914" w:rsidP="001D0151">
      <w:pPr>
        <w:pStyle w:val="ListParagraph"/>
        <w:numPr>
          <w:ilvl w:val="0"/>
          <w:numId w:val="23"/>
        </w:numPr>
      </w:pPr>
      <w:r>
        <w:t>Радиоактивн</w:t>
      </w:r>
      <w:r w:rsidR="007A5059">
        <w:t>и громобрани , кои ги има 108 на територи</w:t>
      </w:r>
      <w:r>
        <w:t>ја</w:t>
      </w:r>
      <w:r w:rsidR="007A5059">
        <w:t xml:space="preserve">та на нашата држава. Во 2021 година се планирани </w:t>
      </w:r>
      <w:r w:rsidR="00E81F29">
        <w:t xml:space="preserve"> 57.</w:t>
      </w:r>
    </w:p>
    <w:p w:rsidR="00E81F29" w:rsidRDefault="00E81F29" w:rsidP="001D0151">
      <w:pPr>
        <w:pStyle w:val="ListParagraph"/>
        <w:numPr>
          <w:ilvl w:val="0"/>
          <w:numId w:val="23"/>
        </w:numPr>
      </w:pPr>
      <w:r>
        <w:t>Овластени технички сервиси кои вршат мониторинг ( индивидуален и мониторинг на работната средина, тестови на Контрола на квалитет и калибрација на детектори.</w:t>
      </w:r>
      <w:r w:rsidR="007A5059">
        <w:t xml:space="preserve"> Институт за јавно здравје</w:t>
      </w:r>
    </w:p>
    <w:p w:rsidR="00E81F29" w:rsidRDefault="007A5059" w:rsidP="00E81F29">
      <w:pPr>
        <w:ind w:left="547"/>
      </w:pPr>
      <w:r>
        <w:t xml:space="preserve">       Бројот на правни лица е 1</w:t>
      </w:r>
      <w:r w:rsidR="00E81F29">
        <w:t>.</w:t>
      </w:r>
      <w:r>
        <w:t xml:space="preserve"> Во 2021 год</w:t>
      </w:r>
      <w:r w:rsidR="00E35914">
        <w:t>ина</w:t>
      </w:r>
      <w:r>
        <w:t xml:space="preserve"> не е планиран ниту еден инспекциски надзор</w:t>
      </w:r>
    </w:p>
    <w:p w:rsidR="00170325" w:rsidRDefault="00170325" w:rsidP="00170325">
      <w:pPr>
        <w:pStyle w:val="ListParagraph"/>
        <w:numPr>
          <w:ilvl w:val="0"/>
          <w:numId w:val="25"/>
        </w:numPr>
      </w:pPr>
      <w:r>
        <w:t>Правни лица кај кои постои низок степен на ризик и кај кои се врши по 1 инспекциски надзор во период од 3 години.</w:t>
      </w:r>
    </w:p>
    <w:p w:rsidR="00170325" w:rsidRDefault="00170325" w:rsidP="008C6FA9">
      <w:pPr>
        <w:pStyle w:val="ListParagraph"/>
        <w:ind w:left="927"/>
      </w:pPr>
    </w:p>
    <w:p w:rsidR="00F45DC3" w:rsidRDefault="008C6FA9" w:rsidP="00F45DC3">
      <w:pPr>
        <w:pStyle w:val="ListParagraph"/>
        <w:numPr>
          <w:ilvl w:val="0"/>
          <w:numId w:val="23"/>
        </w:numPr>
      </w:pPr>
      <w:r>
        <w:t>Овластени технички сервиси кои вршат мониторинг ( индивидуален и мониторинг на работната средина и тестови на Контрола на квалитет.</w:t>
      </w:r>
    </w:p>
    <w:p w:rsidR="008C6FA9" w:rsidRDefault="008C6FA9" w:rsidP="008C6FA9">
      <w:pPr>
        <w:pStyle w:val="ListParagraph"/>
        <w:ind w:left="907"/>
      </w:pPr>
      <w:r>
        <w:t>Бројот на наведените правни лица  е 2.</w:t>
      </w:r>
      <w:r w:rsidR="007A5059">
        <w:t xml:space="preserve"> Во 2021 година нема планирано инспекциски надзор</w:t>
      </w:r>
    </w:p>
    <w:p w:rsidR="007F5FF5" w:rsidRDefault="008C6FA9" w:rsidP="007F5FF5">
      <w:pPr>
        <w:pStyle w:val="ListParagraph"/>
        <w:numPr>
          <w:ilvl w:val="0"/>
          <w:numId w:val="23"/>
        </w:numPr>
      </w:pPr>
      <w:r>
        <w:t xml:space="preserve">Овластени здравствени институции за вршење систематски прегледи за професионално изложени лица. Бројот на наведените правни лица е </w:t>
      </w:r>
      <w:r w:rsidR="00CA2556">
        <w:t>10</w:t>
      </w:r>
      <w:r w:rsidR="007F5FF5">
        <w:t xml:space="preserve">, а во  текот на 2021 година предмет </w:t>
      </w:r>
      <w:r w:rsidR="007A5059">
        <w:t>на инспекциски надзор ќе бидат 2</w:t>
      </w:r>
      <w:r w:rsidR="007F5FF5">
        <w:t>.</w:t>
      </w:r>
    </w:p>
    <w:p w:rsidR="007F5FF5" w:rsidRDefault="007F5FF5" w:rsidP="007F5FF5">
      <w:pPr>
        <w:pStyle w:val="ListParagraph"/>
        <w:ind w:left="907"/>
      </w:pPr>
    </w:p>
    <w:p w:rsidR="007F5FF5" w:rsidRDefault="007F5FF5" w:rsidP="007F5FF5">
      <w:pPr>
        <w:pStyle w:val="ListParagraph"/>
        <w:numPr>
          <w:ilvl w:val="0"/>
          <w:numId w:val="23"/>
        </w:numPr>
      </w:pPr>
      <w:r>
        <w:t>4. Правни лица кај кои постои многу низок степен на ризик и кај кои ќе се врши по еден инспекциски надзор во период од 4 години.</w:t>
      </w:r>
      <w:r w:rsidR="000E2C48">
        <w:t xml:space="preserve"> </w:t>
      </w:r>
    </w:p>
    <w:p w:rsidR="007F5FF5" w:rsidRDefault="000E2C48" w:rsidP="007F5FF5">
      <w:pPr>
        <w:pStyle w:val="ListParagraph"/>
        <w:ind w:left="907"/>
      </w:pPr>
      <w:r>
        <w:t>Во 2021 година предвид</w:t>
      </w:r>
      <w:r w:rsidR="007A5059">
        <w:t>ени се инспекциски надзори во 20</w:t>
      </w:r>
      <w:r>
        <w:t xml:space="preserve"> стоматолошки ординации.</w:t>
      </w:r>
    </w:p>
    <w:p w:rsidR="007F5FF5" w:rsidRPr="002053C6" w:rsidRDefault="007F5FF5" w:rsidP="007F5FF5">
      <w:r>
        <w:lastRenderedPageBreak/>
        <w:t xml:space="preserve">                   Управување со искористени радиоактивни извори од 5 категорија </w:t>
      </w:r>
      <w:r w:rsidR="007370C7">
        <w:t>– 4 правни лица.</w:t>
      </w:r>
    </w:p>
    <w:p w:rsidR="0023045B" w:rsidRDefault="00732F87" w:rsidP="00AD1C1F">
      <w:pPr>
        <w:pStyle w:val="Obr-Tekst1"/>
        <w:jc w:val="left"/>
      </w:pPr>
      <w:r>
        <w:t>Во текот</w:t>
      </w:r>
      <w:r w:rsidR="00365DCA">
        <w:t xml:space="preserve"> на 2021</w:t>
      </w:r>
      <w:r w:rsidR="0027116B">
        <w:t xml:space="preserve"> година планирани се 157</w:t>
      </w:r>
      <w:r w:rsidR="00D72BF0">
        <w:t xml:space="preserve"> </w:t>
      </w:r>
      <w:r>
        <w:t>редовни инспекциски надзори</w:t>
      </w:r>
      <w:r w:rsidR="008846CD">
        <w:rPr>
          <w:lang w:val="en-US"/>
        </w:rPr>
        <w:t xml:space="preserve">, </w:t>
      </w:r>
      <w:r w:rsidR="0027116B">
        <w:t>9 вонредни  и 25</w:t>
      </w:r>
      <w:r w:rsidR="008846CD">
        <w:t xml:space="preserve"> контролни инспекциски надзори. </w:t>
      </w:r>
    </w:p>
    <w:p w:rsidR="00745B74" w:rsidRPr="005F7E02" w:rsidRDefault="00AC09CC" w:rsidP="00AD1C1F">
      <w:pPr>
        <w:pStyle w:val="Obr-Tekst1"/>
        <w:jc w:val="left"/>
      </w:pPr>
      <w:r>
        <w:t xml:space="preserve">Подготовката на планот за </w:t>
      </w:r>
      <w:r w:rsidR="00745B74">
        <w:t>бројот на инспекциските надзори</w:t>
      </w:r>
      <w:r w:rsidR="00E35914">
        <w:t xml:space="preserve"> се врши во период кога П</w:t>
      </w:r>
      <w:r w:rsidR="0023045B">
        <w:t>андемијата предизвикана од вирусот</w:t>
      </w:r>
      <w:r w:rsidR="0023045B">
        <w:rPr>
          <w:lang w:val="en-GB"/>
        </w:rPr>
        <w:t xml:space="preserve"> COVID 19 </w:t>
      </w:r>
      <w:r w:rsidR="0023045B">
        <w:t>во голема мера</w:t>
      </w:r>
      <w:r w:rsidR="00246E31">
        <w:t xml:space="preserve"> го  ограничува </w:t>
      </w:r>
      <w:r w:rsidR="00745B74">
        <w:t xml:space="preserve">нивното </w:t>
      </w:r>
      <w:r w:rsidR="00246E31">
        <w:t>вршење особено во здравствените институции, кои сите свои капацитети ги имаат насочено во борба со истата, но за период</w:t>
      </w:r>
      <w:r w:rsidR="00745B74">
        <w:t xml:space="preserve"> во кој се предвидува подобрување на епидемиолошките и здравствени услови. </w:t>
      </w:r>
      <w:r w:rsidR="00F02F3B">
        <w:t>Поголемите отстапувања на условите од оние за кој е правен планот ќе се регулираат со месечните планови.</w:t>
      </w:r>
    </w:p>
    <w:p w:rsidR="00531C7C" w:rsidRDefault="00AD1C1F" w:rsidP="00AD1C1F">
      <w:pPr>
        <w:pStyle w:val="Obr-Tekst1"/>
        <w:jc w:val="left"/>
      </w:pPr>
      <w:r>
        <w:t xml:space="preserve">Тргнувајќи од </w:t>
      </w:r>
      <w:r w:rsidR="00F02F3B">
        <w:t>направената анализа на ризик</w:t>
      </w:r>
      <w:r w:rsidR="00E35914">
        <w:t xml:space="preserve"> </w:t>
      </w:r>
      <w:r w:rsidR="00AE53D1">
        <w:t>(ризик од непочитувањето на законските прописи како и проценетиот ризик од видот, бројот и категоријата на изворите) врз основа на искуствата од претходните години</w:t>
      </w:r>
      <w:r w:rsidR="008846CD">
        <w:t xml:space="preserve"> </w:t>
      </w:r>
      <w:r w:rsidR="00842447">
        <w:t>предвидено е дека кај 26</w:t>
      </w:r>
      <w:r w:rsidR="00AE53D1">
        <w:t xml:space="preserve"> субјекти ќе бидат констатирани неправилности кои ќе бидат санкционирани со соодветна управна мерка</w:t>
      </w:r>
      <w:r w:rsidR="00F02F3B">
        <w:t xml:space="preserve">. Превземањето на управните мерки со цел елиминирање на неправилностите </w:t>
      </w:r>
      <w:r w:rsidR="0014092F">
        <w:t xml:space="preserve"> резултира со ист број на контролни надзори.</w:t>
      </w:r>
      <w:r w:rsidR="00433ADC">
        <w:t xml:space="preserve"> Од асп</w:t>
      </w:r>
      <w:r w:rsidR="00AC3FE7">
        <w:t>ект на ризични области и во 2021</w:t>
      </w:r>
      <w:r w:rsidR="00433ADC">
        <w:t xml:space="preserve"> година се очекува непочитувањето на законските прописи да биде </w:t>
      </w:r>
    </w:p>
    <w:p w:rsidR="00433ADC" w:rsidRDefault="00F02F3B" w:rsidP="00433ADC">
      <w:pPr>
        <w:pStyle w:val="Obr-Tekst1"/>
        <w:numPr>
          <w:ilvl w:val="0"/>
          <w:numId w:val="18"/>
        </w:numPr>
      </w:pPr>
      <w:r>
        <w:t>Р</w:t>
      </w:r>
      <w:r w:rsidR="00433ADC">
        <w:t>абота без дозвола,</w:t>
      </w:r>
    </w:p>
    <w:p w:rsidR="00433ADC" w:rsidRDefault="00F02F3B" w:rsidP="00433ADC">
      <w:pPr>
        <w:pStyle w:val="Obr-Tekst1"/>
        <w:numPr>
          <w:ilvl w:val="0"/>
          <w:numId w:val="18"/>
        </w:numPr>
      </w:pPr>
      <w:r>
        <w:t>М</w:t>
      </w:r>
      <w:r w:rsidR="009F5794">
        <w:t>ониторинг на работната средина</w:t>
      </w:r>
      <w:r w:rsidR="00433ADC">
        <w:t xml:space="preserve">  и тестирањето на контрола на квалитет и</w:t>
      </w:r>
    </w:p>
    <w:p w:rsidR="00433ADC" w:rsidRDefault="00F02F3B" w:rsidP="00AC3FE7">
      <w:pPr>
        <w:pStyle w:val="Obr-Tekst1"/>
        <w:numPr>
          <w:ilvl w:val="0"/>
          <w:numId w:val="18"/>
        </w:numPr>
      </w:pPr>
      <w:r>
        <w:t>М</w:t>
      </w:r>
      <w:r w:rsidR="00433ADC">
        <w:t>ониторингот на здравствена состојба на професионално изложените лица.</w:t>
      </w:r>
    </w:p>
    <w:p w:rsidR="00F02F3B" w:rsidRDefault="00F02F3B" w:rsidP="00AC3FE7">
      <w:pPr>
        <w:pStyle w:val="Obr-Tekst1"/>
        <w:numPr>
          <w:ilvl w:val="0"/>
          <w:numId w:val="18"/>
        </w:numPr>
      </w:pPr>
      <w:r>
        <w:t>Работни процедури,</w:t>
      </w:r>
    </w:p>
    <w:p w:rsidR="0014092F" w:rsidRDefault="0014092F" w:rsidP="000B021B">
      <w:pPr>
        <w:pStyle w:val="Obr-Tekst1"/>
      </w:pPr>
      <w:r>
        <w:t xml:space="preserve">Бројот на </w:t>
      </w:r>
      <w:r w:rsidR="00AC3FE7">
        <w:t>предвидените вонредни</w:t>
      </w:r>
      <w:r>
        <w:t xml:space="preserve"> инспек</w:t>
      </w:r>
      <w:r w:rsidR="00AC3FE7">
        <w:t xml:space="preserve">циски надзори за 2021 година  е 15. </w:t>
      </w:r>
      <w:r>
        <w:t xml:space="preserve"> </w:t>
      </w:r>
    </w:p>
    <w:p w:rsidR="0014092F" w:rsidRDefault="0014092F" w:rsidP="000B021B">
      <w:pPr>
        <w:pStyle w:val="Obr-Tekst1"/>
      </w:pPr>
      <w:r>
        <w:t xml:space="preserve"> - претставки од страна на правни и физички лица ,</w:t>
      </w:r>
    </w:p>
    <w:p w:rsidR="0014092F" w:rsidRDefault="0014092F" w:rsidP="000B021B">
      <w:pPr>
        <w:pStyle w:val="Obr-Tekst1"/>
      </w:pPr>
      <w:r>
        <w:t>-  инциденти и вонредни настани кои се случиле ка</w:t>
      </w:r>
      <w:r w:rsidR="00AC3FE7">
        <w:t>ј</w:t>
      </w:r>
      <w:r>
        <w:t xml:space="preserve"> правните субјекти,</w:t>
      </w:r>
    </w:p>
    <w:p w:rsidR="0014092F" w:rsidRDefault="00F02F3B" w:rsidP="000B021B">
      <w:pPr>
        <w:pStyle w:val="Obr-Tekst1"/>
      </w:pPr>
      <w:r>
        <w:t>-  насоки</w:t>
      </w:r>
      <w:r w:rsidR="0014092F">
        <w:t xml:space="preserve"> дадена од Владата,</w:t>
      </w:r>
    </w:p>
    <w:p w:rsidR="007939BC" w:rsidRDefault="007939BC" w:rsidP="000B021B">
      <w:pPr>
        <w:pStyle w:val="Obr-Tekst1"/>
      </w:pPr>
    </w:p>
    <w:p w:rsidR="000B021B" w:rsidRDefault="000B021B" w:rsidP="000B021B">
      <w:pPr>
        <w:pStyle w:val="Caption"/>
        <w:keepNext/>
      </w:pPr>
      <w:r>
        <w:t xml:space="preserve">Табела </w:t>
      </w:r>
      <w:fldSimple w:instr=" SEQ Табела \* ARABIC ">
        <w:r w:rsidR="00A64B2C">
          <w:rPr>
            <w:noProof/>
          </w:rPr>
          <w:t>3</w:t>
        </w:r>
      </w:fldSimple>
      <w:r w:rsidRPr="000B021B">
        <w:t xml:space="preserve"> </w:t>
      </w:r>
      <w:r w:rsidRPr="00FF23C3">
        <w:t xml:space="preserve">Преглед на вкупниот број на </w:t>
      </w:r>
      <w:r w:rsidR="00B45469">
        <w:t>очекувани</w:t>
      </w:r>
      <w:r>
        <w:t xml:space="preserve"> неправилности и </w:t>
      </w:r>
      <w:r w:rsidRPr="00FF23C3">
        <w:t>инспекциски надзори според вид</w:t>
      </w:r>
      <w:r>
        <w:t xml:space="preserve"> </w:t>
      </w:r>
      <w:r w:rsidRPr="00FF23C3">
        <w:t>в</w:t>
      </w:r>
      <w:r w:rsidR="006A0AE3">
        <w:t>о 2021</w:t>
      </w:r>
      <w:r>
        <w:t xml:space="preserve"> година, по региони</w:t>
      </w:r>
      <w:r w:rsidR="00B45469">
        <w:t xml:space="preserve"> и општини</w:t>
      </w:r>
    </w:p>
    <w:tbl>
      <w:tblPr>
        <w:tblW w:w="6609" w:type="dxa"/>
        <w:jc w:val="center"/>
        <w:tblLook w:val="04A0"/>
      </w:tblPr>
      <w:tblGrid>
        <w:gridCol w:w="809"/>
        <w:gridCol w:w="2300"/>
        <w:gridCol w:w="700"/>
        <w:gridCol w:w="707"/>
        <w:gridCol w:w="693"/>
        <w:gridCol w:w="700"/>
        <w:gridCol w:w="700"/>
      </w:tblGrid>
      <w:tr w:rsidR="000B021B" w:rsidRPr="00AC54C7" w:rsidTr="00477986">
        <w:trPr>
          <w:trHeight w:val="315"/>
          <w:tblHeader/>
          <w:jc w:val="center"/>
        </w:trPr>
        <w:tc>
          <w:tcPr>
            <w:tcW w:w="80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
              <w:rPr>
                <w:lang w:eastAsia="mk-MK"/>
              </w:rPr>
            </w:pPr>
            <w:r w:rsidRPr="00AC54C7">
              <w:rPr>
                <w:lang w:eastAsia="mk-MK"/>
              </w:rPr>
              <w:t>Ред.Бр.</w:t>
            </w:r>
          </w:p>
        </w:tc>
        <w:tc>
          <w:tcPr>
            <w:tcW w:w="23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2"/>
              <w:rPr>
                <w:lang w:eastAsia="mk-MK"/>
              </w:rPr>
            </w:pPr>
            <w:r>
              <w:rPr>
                <w:lang w:eastAsia="mk-MK"/>
              </w:rPr>
              <w:t>Регион</w:t>
            </w:r>
            <w:r w:rsidR="00B45469">
              <w:rPr>
                <w:lang w:eastAsia="mk-MK"/>
              </w:rPr>
              <w:t>/Општина</w:t>
            </w:r>
          </w:p>
        </w:tc>
        <w:tc>
          <w:tcPr>
            <w:tcW w:w="2100" w:type="dxa"/>
            <w:gridSpan w:val="3"/>
            <w:tcBorders>
              <w:top w:val="single" w:sz="4" w:space="0" w:color="auto"/>
              <w:left w:val="nil"/>
              <w:bottom w:val="single" w:sz="4" w:space="0" w:color="auto"/>
              <w:right w:val="single" w:sz="4" w:space="0" w:color="auto"/>
            </w:tcBorders>
            <w:shd w:val="clear" w:color="000000" w:fill="EBF1DE"/>
            <w:vAlign w:val="center"/>
            <w:hideMark/>
          </w:tcPr>
          <w:p w:rsidR="000B021B" w:rsidRPr="00AC54C7" w:rsidRDefault="000B021B" w:rsidP="00330705">
            <w:pPr>
              <w:pStyle w:val="Obr-TabNaslov"/>
              <w:rPr>
                <w:lang w:eastAsia="mk-MK"/>
              </w:rPr>
            </w:pPr>
            <w:r w:rsidRPr="00AC54C7">
              <w:rPr>
                <w:lang w:eastAsia="mk-MK"/>
              </w:rPr>
              <w:t>Вид на надзор</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Вкупно надзори</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Вкупно неправилн.</w:t>
            </w:r>
          </w:p>
        </w:tc>
      </w:tr>
      <w:tr w:rsidR="000B021B" w:rsidRPr="00AC54C7" w:rsidTr="00477986">
        <w:trPr>
          <w:trHeight w:val="780"/>
          <w:tblHeader/>
          <w:jc w:val="center"/>
        </w:trPr>
        <w:tc>
          <w:tcPr>
            <w:tcW w:w="809"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
              <w:rPr>
                <w:rFonts w:cs="Times New Roman"/>
                <w:color w:val="000000"/>
                <w:lang w:eastAsia="mk-MK"/>
              </w:rPr>
            </w:pPr>
          </w:p>
        </w:tc>
        <w:tc>
          <w:tcPr>
            <w:tcW w:w="23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0B021B" w:rsidRPr="00AC54C7" w:rsidRDefault="000B021B" w:rsidP="00330705">
            <w:pPr>
              <w:pStyle w:val="Obr-TabNaslov2"/>
              <w:rPr>
                <w:rFonts w:eastAsia="Times New Roman" w:cs="Times New Roman"/>
                <w:color w:val="000000"/>
                <w:lang w:eastAsia="mk-MK"/>
              </w:rPr>
            </w:pPr>
          </w:p>
        </w:tc>
        <w:tc>
          <w:tcPr>
            <w:tcW w:w="700" w:type="dxa"/>
            <w:tcBorders>
              <w:top w:val="nil"/>
              <w:left w:val="nil"/>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Редовен надзор</w:t>
            </w:r>
          </w:p>
        </w:tc>
        <w:tc>
          <w:tcPr>
            <w:tcW w:w="707" w:type="dxa"/>
            <w:tcBorders>
              <w:top w:val="nil"/>
              <w:left w:val="nil"/>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Вонред. надзор</w:t>
            </w:r>
          </w:p>
        </w:tc>
        <w:tc>
          <w:tcPr>
            <w:tcW w:w="693" w:type="dxa"/>
            <w:tcBorders>
              <w:top w:val="nil"/>
              <w:left w:val="nil"/>
              <w:bottom w:val="single" w:sz="4" w:space="0" w:color="auto"/>
              <w:right w:val="single" w:sz="4" w:space="0" w:color="auto"/>
            </w:tcBorders>
            <w:shd w:val="clear" w:color="000000" w:fill="EBF1DE"/>
            <w:textDirection w:val="btLr"/>
            <w:vAlign w:val="center"/>
            <w:hideMark/>
          </w:tcPr>
          <w:p w:rsidR="000B021B" w:rsidRPr="00AC54C7" w:rsidRDefault="000B021B" w:rsidP="00330705">
            <w:pPr>
              <w:pStyle w:val="Obr-TabNaslov"/>
              <w:rPr>
                <w:lang w:eastAsia="mk-MK"/>
              </w:rPr>
            </w:pPr>
            <w:r w:rsidRPr="00AC54C7">
              <w:rPr>
                <w:lang w:eastAsia="mk-MK"/>
              </w:rPr>
              <w:t>Контрол. надзор</w:t>
            </w: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B021B" w:rsidRPr="00AC54C7" w:rsidRDefault="000B021B" w:rsidP="000B021B">
            <w:pPr>
              <w:spacing w:after="0" w:line="240" w:lineRule="auto"/>
              <w:rPr>
                <w:rFonts w:ascii="StobiSansCn Bold" w:eastAsia="Times New Roman" w:hAnsi="StobiSansCn Bold" w:cs="Times New Roman"/>
                <w:color w:val="000000"/>
                <w:sz w:val="20"/>
                <w:szCs w:val="20"/>
                <w:lang w:eastAsia="mk-MK"/>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0B021B" w:rsidRPr="00AC54C7" w:rsidRDefault="000B021B" w:rsidP="000B021B">
            <w:pPr>
              <w:spacing w:after="0" w:line="240" w:lineRule="auto"/>
              <w:rPr>
                <w:rFonts w:ascii="StobiSansCn Bold" w:eastAsia="Times New Roman" w:hAnsi="StobiSansCn Bold" w:cs="Times New Roman"/>
                <w:color w:val="000000"/>
                <w:sz w:val="20"/>
                <w:szCs w:val="20"/>
                <w:lang w:eastAsia="mk-MK"/>
              </w:rPr>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val="en-US"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Вардарски  регион</w:t>
            </w:r>
          </w:p>
        </w:tc>
        <w:tc>
          <w:tcPr>
            <w:tcW w:w="700"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6A0AE3" w:rsidRDefault="0024089A" w:rsidP="00330705">
            <w:pPr>
              <w:pStyle w:val="Obr-TabText2"/>
            </w:pPr>
            <w:r>
              <w:t>11</w:t>
            </w:r>
          </w:p>
        </w:tc>
        <w:tc>
          <w:tcPr>
            <w:tcW w:w="707"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DD681E" w:rsidRDefault="00DB1F0D" w:rsidP="00330705">
            <w:pPr>
              <w:pStyle w:val="Obr-TabText2"/>
            </w:pPr>
            <w:r>
              <w:t>0</w:t>
            </w:r>
          </w:p>
        </w:tc>
        <w:tc>
          <w:tcPr>
            <w:tcW w:w="693" w:type="dxa"/>
            <w:tcBorders>
              <w:top w:val="nil"/>
              <w:left w:val="nil"/>
              <w:bottom w:val="single" w:sz="4" w:space="0" w:color="auto"/>
              <w:right w:val="single" w:sz="4" w:space="0" w:color="auto"/>
            </w:tcBorders>
            <w:shd w:val="clear" w:color="auto" w:fill="F2F2F2" w:themeFill="background1" w:themeFillShade="F2"/>
            <w:noWrap/>
            <w:vAlign w:val="bottom"/>
            <w:hideMark/>
          </w:tcPr>
          <w:p w:rsidR="000B021B" w:rsidRPr="00DD681E" w:rsidRDefault="00CF3025" w:rsidP="00330705">
            <w:pPr>
              <w:pStyle w:val="Obr-TabText2"/>
            </w:pPr>
            <w:r>
              <w:t>1</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B021B" w:rsidRPr="00DD681E" w:rsidRDefault="00CF3025" w:rsidP="00330705">
            <w:pPr>
              <w:pStyle w:val="Obr-TabText2"/>
            </w:pPr>
            <w:r>
              <w:t>4</w:t>
            </w:r>
          </w:p>
        </w:tc>
        <w:tc>
          <w:tcPr>
            <w:tcW w:w="70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B021B" w:rsidRPr="00CF3025" w:rsidRDefault="00CF3025" w:rsidP="00330705">
            <w:pPr>
              <w:pStyle w:val="Obr-TabText2"/>
            </w:pPr>
            <w: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F767C3" w:rsidRDefault="000B021B" w:rsidP="00330705">
            <w:pPr>
              <w:pStyle w:val="Obr-TabNaslov"/>
              <w:rPr>
                <w:rFonts w:cs="Times New Roman"/>
                <w:color w:val="000000"/>
                <w:lang w:eastAsia="mk-MK"/>
              </w:rPr>
            </w:pPr>
            <w:r>
              <w:rPr>
                <w:rFonts w:cs="Times New Roman"/>
                <w:color w:val="000000"/>
                <w:lang w:eastAsia="mk-MK"/>
              </w:rPr>
              <w:t>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Велес</w:t>
            </w:r>
          </w:p>
        </w:tc>
        <w:tc>
          <w:tcPr>
            <w:tcW w:w="700" w:type="dxa"/>
            <w:tcBorders>
              <w:top w:val="nil"/>
              <w:left w:val="nil"/>
              <w:bottom w:val="single" w:sz="4" w:space="0" w:color="auto"/>
              <w:right w:val="single" w:sz="4" w:space="0" w:color="auto"/>
            </w:tcBorders>
            <w:shd w:val="clear" w:color="auto" w:fill="auto"/>
            <w:noWrap/>
            <w:vAlign w:val="bottom"/>
          </w:tcPr>
          <w:p w:rsidR="000B021B" w:rsidRPr="00FE6312" w:rsidRDefault="0024089A" w:rsidP="00330705">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B021B" w:rsidRPr="00AC54C7" w:rsidRDefault="00CF3025" w:rsidP="00330705">
            <w:pPr>
              <w:pStyle w:val="Obr-TabText2"/>
            </w:pPr>
            <w:r>
              <w:t>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lang w:val="en-GB"/>
              </w:rPr>
            </w:pPr>
            <w:r>
              <w:rPr>
                <w:lang w:val="en-GB"/>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F767C3" w:rsidRDefault="000B021B" w:rsidP="00330705">
            <w:pPr>
              <w:pStyle w:val="Obr-TabNaslov"/>
              <w:rPr>
                <w:rFonts w:cs="Times New Roman"/>
                <w:color w:val="000000"/>
                <w:lang w:eastAsia="mk-MK"/>
              </w:rPr>
            </w:pPr>
            <w:r>
              <w:rPr>
                <w:rFonts w:cs="Times New Roman"/>
                <w:color w:val="000000"/>
                <w:lang w:eastAsia="mk-MK"/>
              </w:rPr>
              <w:t>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Градско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Демир Капија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B021B" w:rsidRPr="00AC54C7" w:rsidRDefault="00FE6312" w:rsidP="00330705">
            <w:pPr>
              <w:pStyle w:val="Obr-TabText2"/>
            </w:pPr>
            <w:r>
              <w:t>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lastRenderedPageBreak/>
              <w:t>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Кавадарци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CF3025"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CF3025"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Лозово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Неготино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FE6312" w:rsidP="00330705">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Росоман</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Свети Николе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Чашка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2"/>
              <w:rPr>
                <w:rFonts w:eastAsia="Times New Roman" w:cs="Times New Roman"/>
                <w:color w:val="FF0000"/>
                <w:lang w:eastAsia="mk-MK"/>
              </w:rPr>
            </w:pPr>
            <w:r w:rsidRPr="00090564">
              <w:rPr>
                <w:rFonts w:eastAsia="Times New Roman" w:cs="Times New Roman"/>
                <w:lang w:eastAsia="mk-MK"/>
              </w:rPr>
              <w:t>Источен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DD681E" w:rsidRDefault="0024089A" w:rsidP="00330705">
            <w:pPr>
              <w:pStyle w:val="Obr-TabText2"/>
            </w:pPr>
            <w:r>
              <w:t>9</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DD681E" w:rsidRDefault="000B021B" w:rsidP="00330705">
            <w:pPr>
              <w:pStyle w:val="Obr-TabText2"/>
            </w:pP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DD681E" w:rsidRDefault="00CF3025" w:rsidP="00330705">
            <w:pPr>
              <w:pStyle w:val="Obr-TabText2"/>
            </w:pPr>
            <w:r>
              <w:t>1</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DD681E" w:rsidRDefault="00CF3025" w:rsidP="00330705">
            <w:pPr>
              <w:pStyle w:val="Obr-TabText2"/>
            </w:pPr>
            <w:r>
              <w:t>4</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CF3025" w:rsidRDefault="00CF3025" w:rsidP="00330705">
            <w:pPr>
              <w:pStyle w:val="Obr-TabText2"/>
            </w:pPr>
            <w: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Берово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Виница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D4C3E"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Делчево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6003A"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Зрновци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Карбинци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Кочани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365DCA" w:rsidP="00330705">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Македонска Каменица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Пехчево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Пробиштип</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A657C"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lang w:val="en-GB"/>
              </w:rPr>
            </w:pPr>
            <w:r>
              <w:rPr>
                <w:lang w:val="en-GB"/>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19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Чешиново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Штип</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CF3025"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CF3025"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CF3025" w:rsidRDefault="000B021B" w:rsidP="00330705">
            <w:pPr>
              <w:pStyle w:val="Obr-TabText2"/>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Југозападен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C572E1" w:rsidRDefault="00C572E1" w:rsidP="00330705">
            <w:pPr>
              <w:pStyle w:val="Obr-TabText2"/>
            </w:pPr>
            <w:r>
              <w:t>1</w:t>
            </w:r>
            <w:r w:rsidR="0024089A">
              <w:t>3</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DD681E" w:rsidRDefault="00365DCA" w:rsidP="00330705">
            <w:pPr>
              <w:pStyle w:val="Obr-TabText2"/>
            </w:pPr>
            <w:r>
              <w:t>0</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C572E1" w:rsidRDefault="00C572E1" w:rsidP="00330705">
            <w:pPr>
              <w:pStyle w:val="Obr-TabText2"/>
            </w:pPr>
            <w:r>
              <w:t>2</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DD681E" w:rsidRDefault="00C572E1" w:rsidP="00AC3101">
            <w:pPr>
              <w:pStyle w:val="Obr-TabText2"/>
              <w:jc w:val="left"/>
            </w:pPr>
            <w:r>
              <w:t>1</w:t>
            </w:r>
            <w:r w:rsidR="00A04125">
              <w:t>3</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C572E1" w:rsidRDefault="003452BC" w:rsidP="002A657C">
            <w:pPr>
              <w:pStyle w:val="Obr-TabText2"/>
              <w:jc w:val="left"/>
            </w:pPr>
            <w:r>
              <w:rPr>
                <w:lang w:val="en-GB"/>
              </w:rPr>
              <w:t xml:space="preserve">   </w:t>
            </w:r>
            <w:r w:rsidR="00A04125">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Вевчани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C572E1"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Дебар</w:t>
            </w:r>
          </w:p>
        </w:tc>
        <w:tc>
          <w:tcPr>
            <w:tcW w:w="700" w:type="dxa"/>
            <w:tcBorders>
              <w:top w:val="nil"/>
              <w:left w:val="nil"/>
              <w:bottom w:val="single" w:sz="4" w:space="0" w:color="auto"/>
              <w:right w:val="single" w:sz="4" w:space="0" w:color="auto"/>
            </w:tcBorders>
            <w:shd w:val="clear" w:color="auto" w:fill="auto"/>
            <w:noWrap/>
            <w:vAlign w:val="bottom"/>
          </w:tcPr>
          <w:p w:rsidR="000B021B" w:rsidRPr="00365DCA"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365DCA" w:rsidP="00330705">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Дебарца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Кичево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CF3025" w:rsidRDefault="00CF3025"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CF3025"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CF3025"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Македонски Брод</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A657C"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0B021B" w:rsidP="00330705">
            <w:pPr>
              <w:pStyle w:val="Obr-TabText2"/>
              <w:rPr>
                <w:lang w:val="en-GB"/>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Охрид</w:t>
            </w:r>
          </w:p>
        </w:tc>
        <w:tc>
          <w:tcPr>
            <w:tcW w:w="700" w:type="dxa"/>
            <w:tcBorders>
              <w:top w:val="nil"/>
              <w:left w:val="nil"/>
              <w:bottom w:val="single" w:sz="4" w:space="0" w:color="auto"/>
              <w:right w:val="single" w:sz="4" w:space="0" w:color="auto"/>
            </w:tcBorders>
            <w:shd w:val="clear" w:color="auto" w:fill="auto"/>
            <w:noWrap/>
            <w:vAlign w:val="bottom"/>
          </w:tcPr>
          <w:p w:rsidR="000B021B" w:rsidRPr="00CF3025" w:rsidRDefault="0024089A"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CF3025" w:rsidRDefault="00CF3025" w:rsidP="00330705">
            <w:pPr>
              <w:pStyle w:val="Obr-TabText1"/>
              <w:rPr>
                <w:lang w:eastAsia="mk-MK"/>
              </w:rPr>
            </w:pPr>
            <w:r>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A657C" w:rsidP="002A657C">
            <w:pPr>
              <w:pStyle w:val="Obr-TabText2"/>
              <w:jc w:val="left"/>
            </w:pPr>
            <w:r>
              <w:t xml:space="preserve"> </w:t>
            </w:r>
            <w:r w:rsidR="00CF3025">
              <w:t xml:space="preserve"> </w:t>
            </w:r>
            <w:r>
              <w:t xml:space="preserve"> </w:t>
            </w:r>
            <w:r w:rsidR="00CF3025">
              <w:t>8</w:t>
            </w:r>
          </w:p>
        </w:tc>
        <w:tc>
          <w:tcPr>
            <w:tcW w:w="700" w:type="dxa"/>
            <w:tcBorders>
              <w:top w:val="nil"/>
              <w:left w:val="nil"/>
              <w:bottom w:val="single" w:sz="4" w:space="0" w:color="auto"/>
              <w:right w:val="single" w:sz="4" w:space="0" w:color="auto"/>
            </w:tcBorders>
            <w:shd w:val="clear" w:color="auto" w:fill="auto"/>
            <w:noWrap/>
            <w:vAlign w:val="bottom"/>
          </w:tcPr>
          <w:p w:rsidR="000B021B" w:rsidRPr="00CF3025" w:rsidRDefault="00CF3025" w:rsidP="00330705">
            <w:pPr>
              <w:pStyle w:val="Obr-TabText2"/>
            </w:pPr>
            <w: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Пласница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Струга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CF3025"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C572E1"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C572E1"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29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Центар Жупа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Југоисточен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DD681E" w:rsidRDefault="002600B1" w:rsidP="00330705">
            <w:pPr>
              <w:pStyle w:val="Obr-TabText2"/>
            </w:pPr>
            <w:r>
              <w:t>1</w:t>
            </w:r>
            <w:r w:rsidR="0066003A">
              <w:t>8</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2600B1" w:rsidRDefault="002600B1" w:rsidP="00330705">
            <w:pPr>
              <w:pStyle w:val="Obr-TabText2"/>
            </w:pPr>
            <w:r>
              <w:t>1</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2600B1" w:rsidRDefault="0024089A" w:rsidP="00330705">
            <w:pPr>
              <w:pStyle w:val="Obr-TabText2"/>
            </w:pPr>
            <w:r>
              <w:t>4</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DD681E" w:rsidRDefault="002A657C" w:rsidP="002A657C">
            <w:pPr>
              <w:pStyle w:val="Obr-TabText2"/>
              <w:jc w:val="left"/>
            </w:pPr>
            <w:r>
              <w:t xml:space="preserve">  </w:t>
            </w:r>
            <w:r w:rsidR="00A04125">
              <w:t>19</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A04125" w:rsidRDefault="00CA670F" w:rsidP="00D03628">
            <w:pPr>
              <w:pStyle w:val="Obr-TabText2"/>
              <w:jc w:val="left"/>
            </w:pPr>
            <w:r>
              <w:t xml:space="preserve"> </w:t>
            </w:r>
            <w:r w:rsidR="002A657C">
              <w:t xml:space="preserve"> </w:t>
            </w:r>
            <w:r w:rsidR="00A04125">
              <w:t>5</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Богданци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A657C"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lang w:val="en-GB"/>
              </w:rPr>
            </w:pPr>
            <w:r>
              <w:rPr>
                <w:lang w:val="en-GB"/>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Босилово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Валандово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Василево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Гевгелија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600B1" w:rsidP="00330705">
            <w:pPr>
              <w:pStyle w:val="Obr-TabText1"/>
              <w:rPr>
                <w:lang w:eastAsia="mk-MK"/>
              </w:rPr>
            </w:pPr>
            <w:r>
              <w:rPr>
                <w:lang w:eastAsia="mk-MK"/>
              </w:rPr>
              <w:t>5</w:t>
            </w:r>
          </w:p>
        </w:tc>
        <w:tc>
          <w:tcPr>
            <w:tcW w:w="707" w:type="dxa"/>
            <w:tcBorders>
              <w:top w:val="nil"/>
              <w:left w:val="nil"/>
              <w:bottom w:val="single" w:sz="4" w:space="0" w:color="auto"/>
              <w:right w:val="single" w:sz="4" w:space="0" w:color="auto"/>
            </w:tcBorders>
            <w:shd w:val="clear" w:color="auto" w:fill="auto"/>
            <w:noWrap/>
            <w:vAlign w:val="bottom"/>
          </w:tcPr>
          <w:p w:rsidR="000B021B" w:rsidRPr="00925F57" w:rsidRDefault="00925F57" w:rsidP="00330705">
            <w:pPr>
              <w:pStyle w:val="Obr-TabText1"/>
              <w:rPr>
                <w:lang w:val="en-GB" w:eastAsia="mk-MK"/>
              </w:rPr>
            </w:pPr>
            <w:r>
              <w:rPr>
                <w:lang w:val="en-GB"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2600B1" w:rsidRDefault="0024089A"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600B1" w:rsidP="00330705">
            <w:pPr>
              <w:pStyle w:val="Obr-TabText2"/>
            </w:pPr>
            <w:r>
              <w:t>8</w:t>
            </w:r>
          </w:p>
        </w:tc>
        <w:tc>
          <w:tcPr>
            <w:tcW w:w="700" w:type="dxa"/>
            <w:tcBorders>
              <w:top w:val="nil"/>
              <w:left w:val="nil"/>
              <w:bottom w:val="single" w:sz="4" w:space="0" w:color="auto"/>
              <w:right w:val="single" w:sz="4" w:space="0" w:color="auto"/>
            </w:tcBorders>
            <w:shd w:val="clear" w:color="auto" w:fill="auto"/>
            <w:noWrap/>
            <w:vAlign w:val="bottom"/>
          </w:tcPr>
          <w:p w:rsidR="000B021B" w:rsidRPr="002600B1" w:rsidRDefault="0027116B" w:rsidP="00330705">
            <w:pPr>
              <w:pStyle w:val="Obr-TabText2"/>
            </w:pPr>
            <w: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Дојран</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6003A" w:rsidP="00330705">
            <w:pPr>
              <w:pStyle w:val="Obr-TabText1"/>
              <w:rPr>
                <w:lang w:eastAsia="mk-MK"/>
              </w:rPr>
            </w:pPr>
            <w:r>
              <w:rPr>
                <w:lang w:eastAsia="mk-MK"/>
              </w:rPr>
              <w:t>4</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66003A" w:rsidP="00330705">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tcPr>
          <w:p w:rsidR="000B021B" w:rsidRPr="00A04125"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Конче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Ново Село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AC3101"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C3101"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AC3101"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lang w:val="en-GB"/>
              </w:rPr>
            </w:pPr>
            <w:r>
              <w:rPr>
                <w:lang w:val="en-GB"/>
              </w:rP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Радовиш</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A657C"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0B021B" w:rsidP="00330705">
            <w:pPr>
              <w:pStyle w:val="Obr-TabText2"/>
              <w:rPr>
                <w:lang w:val="en-GB"/>
              </w:rPr>
            </w:pPr>
          </w:p>
        </w:tc>
      </w:tr>
      <w:tr w:rsidR="000B021B" w:rsidRPr="00AC54C7" w:rsidTr="00D03628">
        <w:trPr>
          <w:trHeight w:val="345"/>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39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Струмица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6003A"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2600B1"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2600B1" w:rsidRDefault="002600B1"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2A657C" w:rsidP="002A657C">
            <w:pPr>
              <w:pStyle w:val="Obr-TabText2"/>
              <w:jc w:val="left"/>
            </w:pPr>
            <w:r>
              <w:t xml:space="preserve">   </w:t>
            </w:r>
            <w:r w:rsidR="002600B1">
              <w:t>5</w:t>
            </w:r>
          </w:p>
        </w:tc>
        <w:tc>
          <w:tcPr>
            <w:tcW w:w="700" w:type="dxa"/>
            <w:tcBorders>
              <w:top w:val="nil"/>
              <w:left w:val="nil"/>
              <w:bottom w:val="single" w:sz="4" w:space="0" w:color="auto"/>
              <w:right w:val="single" w:sz="4" w:space="0" w:color="auto"/>
            </w:tcBorders>
            <w:shd w:val="clear" w:color="auto" w:fill="auto"/>
            <w:noWrap/>
            <w:vAlign w:val="bottom"/>
          </w:tcPr>
          <w:p w:rsidR="000B021B" w:rsidRPr="002600B1" w:rsidRDefault="002600B1" w:rsidP="00330705">
            <w:pPr>
              <w:pStyle w:val="Obr-TabText2"/>
            </w:pPr>
            <w:r>
              <w:t>1</w:t>
            </w:r>
          </w:p>
        </w:tc>
      </w:tr>
      <w:tr w:rsidR="000B021B" w:rsidRPr="00DD681E" w:rsidTr="00CA670F">
        <w:trPr>
          <w:trHeight w:val="363"/>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Пелагониски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1</w:t>
            </w:r>
            <w:r w:rsidR="0024089A">
              <w:t>6</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DD681E" w:rsidRDefault="00B12151" w:rsidP="00330705">
            <w:pPr>
              <w:pStyle w:val="Obr-TabText2"/>
            </w:pPr>
            <w:r>
              <w:t>2</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4</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A04125" w:rsidRDefault="00A04125" w:rsidP="00330705">
            <w:pPr>
              <w:pStyle w:val="Obr-TabText2"/>
            </w:pPr>
            <w:r>
              <w:t>17</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A04125" w:rsidRDefault="005C5371" w:rsidP="005C5371">
            <w:pPr>
              <w:pStyle w:val="Obr-TabText2"/>
              <w:jc w:val="left"/>
            </w:pPr>
            <w:r>
              <w:t xml:space="preserve"> </w:t>
            </w:r>
            <w:r w:rsidR="00E4642C">
              <w:rPr>
                <w:lang w:val="en-GB"/>
              </w:rPr>
              <w:t xml:space="preserve">   </w:t>
            </w:r>
            <w:r w:rsidR="00A04125">
              <w:t>4</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lastRenderedPageBreak/>
              <w:t>40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511DA9"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Битола</w:t>
            </w:r>
          </w:p>
        </w:tc>
        <w:tc>
          <w:tcPr>
            <w:tcW w:w="700"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1"/>
              <w:rPr>
                <w:lang w:eastAsia="mk-MK"/>
              </w:rPr>
            </w:pPr>
            <w:r>
              <w:rPr>
                <w:lang w:eastAsia="mk-MK"/>
              </w:rPr>
              <w:t>7</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B12151" w:rsidP="00330705">
            <w:pPr>
              <w:pStyle w:val="Obr-TabText1"/>
              <w:rPr>
                <w:lang w:eastAsia="mk-MK"/>
              </w:rPr>
            </w:pPr>
            <w:r>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1"/>
              <w:rPr>
                <w:lang w:eastAsia="mk-MK"/>
              </w:rPr>
            </w:pPr>
            <w:r>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A04125" w:rsidP="00330705">
            <w:pPr>
              <w:pStyle w:val="Obr-TabText2"/>
            </w:pPr>
            <w:r>
              <w:t>10</w:t>
            </w:r>
          </w:p>
        </w:tc>
        <w:tc>
          <w:tcPr>
            <w:tcW w:w="700"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2"/>
            </w:pPr>
            <w: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Демир Хисар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2A657C"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5C5371"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lang w:val="en-GB"/>
              </w:rPr>
            </w:pPr>
            <w:r>
              <w:rPr>
                <w:lang w:val="en-GB"/>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Долнени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Кривогаштани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Крушево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2</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FE6312" w:rsidP="00330705">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Могила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Новаци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Прилеп</w:t>
            </w:r>
          </w:p>
        </w:tc>
        <w:tc>
          <w:tcPr>
            <w:tcW w:w="700" w:type="dxa"/>
            <w:tcBorders>
              <w:top w:val="nil"/>
              <w:left w:val="nil"/>
              <w:bottom w:val="single" w:sz="4" w:space="0" w:color="auto"/>
              <w:right w:val="single" w:sz="4" w:space="0" w:color="auto"/>
            </w:tcBorders>
            <w:shd w:val="clear" w:color="auto" w:fill="auto"/>
            <w:noWrap/>
            <w:vAlign w:val="bottom"/>
          </w:tcPr>
          <w:p w:rsidR="000B021B" w:rsidRPr="00FE6312" w:rsidRDefault="0024089A"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5C5371" w:rsidP="00330705">
            <w:pPr>
              <w:pStyle w:val="Obr-TabText1"/>
              <w:rPr>
                <w:lang w:eastAsia="mk-MK"/>
              </w:rPr>
            </w:pPr>
            <w:r>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E4642C" w:rsidRDefault="00E4642C" w:rsidP="00330705">
            <w:pPr>
              <w:pStyle w:val="Obr-TabText1"/>
              <w:rPr>
                <w:lang w:val="en-GB" w:eastAsia="mk-MK"/>
              </w:rPr>
            </w:pPr>
            <w:r>
              <w:rPr>
                <w:lang w:val="en-GB"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A04125" w:rsidP="00330705">
            <w:pPr>
              <w:pStyle w:val="Obr-TabText2"/>
            </w:pPr>
            <w:r>
              <w:t>5</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E4642C" w:rsidP="00330705">
            <w:pPr>
              <w:pStyle w:val="Obr-TabText2"/>
              <w:rPr>
                <w:lang w:val="en-GB"/>
              </w:rPr>
            </w:pPr>
            <w:r>
              <w:rPr>
                <w:lang w:val="en-GB"/>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Ресен</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Полошки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DD681E" w:rsidRDefault="0066003A" w:rsidP="00330705">
            <w:pPr>
              <w:pStyle w:val="Obr-TabText2"/>
            </w:pPr>
            <w:r>
              <w:t>1</w:t>
            </w:r>
            <w:r w:rsidR="0024089A">
              <w:t>4</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1</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DD681E" w:rsidRDefault="00A04125" w:rsidP="00330705">
            <w:pPr>
              <w:pStyle w:val="Obr-TabText2"/>
            </w:pPr>
            <w:r>
              <w:t>4</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DD681E" w:rsidRDefault="00A04125" w:rsidP="00330705">
            <w:pPr>
              <w:pStyle w:val="Obr-TabText2"/>
            </w:pPr>
            <w:r>
              <w:t>14</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4</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49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Боговиње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Бревеница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Врапчиште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Гостивар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6</w:t>
            </w:r>
          </w:p>
        </w:tc>
        <w:tc>
          <w:tcPr>
            <w:tcW w:w="707" w:type="dxa"/>
            <w:tcBorders>
              <w:top w:val="nil"/>
              <w:left w:val="nil"/>
              <w:bottom w:val="single" w:sz="4" w:space="0" w:color="auto"/>
              <w:right w:val="single" w:sz="4" w:space="0" w:color="auto"/>
            </w:tcBorders>
            <w:shd w:val="clear" w:color="auto" w:fill="auto"/>
            <w:noWrap/>
            <w:vAlign w:val="bottom"/>
          </w:tcPr>
          <w:p w:rsidR="000B021B" w:rsidRPr="00925F57" w:rsidRDefault="00925F57" w:rsidP="00330705">
            <w:pPr>
              <w:pStyle w:val="Obr-TabText1"/>
              <w:rPr>
                <w:lang w:val="en-GB" w:eastAsia="mk-MK"/>
              </w:rPr>
            </w:pPr>
            <w:r>
              <w:rPr>
                <w:lang w:val="en-GB"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B12151" w:rsidP="00330705">
            <w:pPr>
              <w:pStyle w:val="Obr-TabText1"/>
              <w:rPr>
                <w:lang w:eastAsia="mk-MK"/>
              </w:rPr>
            </w:pPr>
            <w:r>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B12151" w:rsidP="00330705">
            <w:pPr>
              <w:pStyle w:val="Obr-TabText2"/>
            </w:pPr>
            <w:r>
              <w:t>7</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rFonts w:eastAsia="Times New Roman" w:cs="Times New Roman"/>
                <w:color w:val="000000"/>
                <w:sz w:val="20"/>
                <w:lang w:val="en-GB"/>
              </w:rPr>
            </w:pPr>
            <w:r>
              <w:rPr>
                <w:rFonts w:eastAsia="Times New Roman" w:cs="Times New Roman"/>
                <w:color w:val="000000"/>
                <w:sz w:val="20"/>
                <w:lang w:val="en-GB"/>
              </w:rP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Желино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Јегуновце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Маврово и Ростуша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B12151"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B12151"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B12151" w:rsidP="00330705">
            <w:pPr>
              <w:pStyle w:val="Obr-TabText2"/>
            </w:pPr>
            <w:r>
              <w:t>2</w:t>
            </w:r>
          </w:p>
        </w:tc>
        <w:tc>
          <w:tcPr>
            <w:tcW w:w="700" w:type="dxa"/>
            <w:tcBorders>
              <w:top w:val="nil"/>
              <w:left w:val="nil"/>
              <w:bottom w:val="single" w:sz="4" w:space="0" w:color="auto"/>
              <w:right w:val="single" w:sz="4" w:space="0" w:color="auto"/>
            </w:tcBorders>
            <w:shd w:val="clear" w:color="auto" w:fill="auto"/>
            <w:noWrap/>
            <w:vAlign w:val="bottom"/>
          </w:tcPr>
          <w:p w:rsidR="000B021B" w:rsidRPr="003452BC" w:rsidRDefault="003452BC" w:rsidP="00330705">
            <w:pPr>
              <w:pStyle w:val="Obr-TabText2"/>
              <w:rPr>
                <w:rFonts w:eastAsia="Times New Roman" w:cs="Times New Roman"/>
                <w:color w:val="000000"/>
                <w:sz w:val="20"/>
                <w:lang w:val="en-GB"/>
              </w:rPr>
            </w:pPr>
            <w:r>
              <w:rPr>
                <w:rFonts w:eastAsia="Times New Roman" w:cs="Times New Roman"/>
                <w:color w:val="000000"/>
                <w:sz w:val="20"/>
                <w:lang w:val="en-GB"/>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Теарце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Тетово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24089A" w:rsidP="00330705">
            <w:pPr>
              <w:pStyle w:val="Obr-TabText1"/>
              <w:rPr>
                <w:lang w:eastAsia="mk-MK"/>
              </w:rPr>
            </w:pPr>
            <w:r>
              <w:rPr>
                <w:lang w:eastAsia="mk-MK"/>
              </w:rPr>
              <w:t>7</w:t>
            </w:r>
          </w:p>
        </w:tc>
        <w:tc>
          <w:tcPr>
            <w:tcW w:w="707" w:type="dxa"/>
            <w:tcBorders>
              <w:top w:val="nil"/>
              <w:left w:val="nil"/>
              <w:bottom w:val="single" w:sz="4" w:space="0" w:color="auto"/>
              <w:right w:val="single" w:sz="4" w:space="0" w:color="auto"/>
            </w:tcBorders>
            <w:shd w:val="clear" w:color="auto" w:fill="auto"/>
            <w:noWrap/>
            <w:vAlign w:val="bottom"/>
          </w:tcPr>
          <w:p w:rsidR="000B021B" w:rsidRPr="00A04125"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A04125"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A04125" w:rsidP="00330705">
            <w:pPr>
              <w:pStyle w:val="Obr-TabText2"/>
            </w:pPr>
            <w:r>
              <w:t>5</w:t>
            </w:r>
          </w:p>
        </w:tc>
        <w:tc>
          <w:tcPr>
            <w:tcW w:w="700"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Североисточен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A04125" w:rsidRDefault="0066003A" w:rsidP="00330705">
            <w:pPr>
              <w:pStyle w:val="Obr-TabText2"/>
            </w:pPr>
            <w:r>
              <w:t>11</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1</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1</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A04125" w:rsidRDefault="00A04125" w:rsidP="00330705">
            <w:pPr>
              <w:pStyle w:val="Obr-TabText2"/>
            </w:pPr>
            <w:r>
              <w:t>9</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A04125" w:rsidRDefault="00A04125" w:rsidP="00330705">
            <w:pPr>
              <w:pStyle w:val="Obr-TabText2"/>
            </w:pPr>
            <w: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Кратово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59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Крива Паланка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6003A" w:rsidP="00330705">
            <w:pPr>
              <w:pStyle w:val="Obr-TabText1"/>
              <w:rPr>
                <w:lang w:eastAsia="mk-MK"/>
              </w:rPr>
            </w:pPr>
            <w:r>
              <w:rPr>
                <w:lang w:eastAsia="mk-MK"/>
              </w:rPr>
              <w:t>3</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5C5371"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Куманово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66003A" w:rsidP="00330705">
            <w:pPr>
              <w:pStyle w:val="Obr-TabText1"/>
              <w:rPr>
                <w:lang w:eastAsia="mk-MK"/>
              </w:rPr>
            </w:pPr>
            <w:r>
              <w:rPr>
                <w:lang w:eastAsia="mk-MK"/>
              </w:rPr>
              <w:t>8</w:t>
            </w:r>
          </w:p>
        </w:tc>
        <w:tc>
          <w:tcPr>
            <w:tcW w:w="707"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1"/>
              <w:rPr>
                <w:lang w:eastAsia="mk-MK"/>
              </w:rPr>
            </w:pPr>
            <w:r>
              <w:rPr>
                <w:lang w:eastAsia="mk-MK"/>
              </w:rPr>
              <w:t>1</w:t>
            </w:r>
          </w:p>
        </w:tc>
        <w:tc>
          <w:tcPr>
            <w:tcW w:w="693"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04125" w:rsidRDefault="00A04125" w:rsidP="00330705">
            <w:pPr>
              <w:pStyle w:val="Obr-TabText2"/>
            </w:pPr>
            <w:r>
              <w:t>8</w:t>
            </w:r>
          </w:p>
        </w:tc>
        <w:tc>
          <w:tcPr>
            <w:tcW w:w="700"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2"/>
            </w:pPr>
            <w: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Липково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Ранковце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Старо Нагоричане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pPr>
          </w:p>
        </w:tc>
      </w:tr>
      <w:tr w:rsidR="000B021B" w:rsidRPr="00DD681E" w:rsidTr="00330705">
        <w:trPr>
          <w:trHeight w:val="227"/>
          <w:jc w:val="center"/>
        </w:trPr>
        <w:tc>
          <w:tcPr>
            <w:tcW w:w="80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B021B" w:rsidRPr="00DD681E" w:rsidRDefault="000B021B" w:rsidP="00330705">
            <w:pPr>
              <w:pStyle w:val="Obr-TabNaslov"/>
              <w:rPr>
                <w:rFonts w:cs="Times New Roman"/>
                <w:color w:val="000000"/>
                <w:lang w:eastAsia="mk-MK"/>
              </w:rPr>
            </w:pPr>
          </w:p>
        </w:tc>
        <w:tc>
          <w:tcPr>
            <w:tcW w:w="2300" w:type="dxa"/>
            <w:tcBorders>
              <w:top w:val="nil"/>
              <w:left w:val="nil"/>
              <w:bottom w:val="single" w:sz="4" w:space="0" w:color="auto"/>
              <w:right w:val="single" w:sz="4" w:space="0" w:color="auto"/>
            </w:tcBorders>
            <w:shd w:val="clear" w:color="auto" w:fill="F2F2F2" w:themeFill="background1" w:themeFillShade="F2"/>
            <w:noWrap/>
            <w:vAlign w:val="center"/>
            <w:hideMark/>
          </w:tcPr>
          <w:p w:rsidR="000B021B" w:rsidRPr="00090564" w:rsidRDefault="000B021B" w:rsidP="00330705">
            <w:pPr>
              <w:pStyle w:val="Obr-TabNaslov2"/>
              <w:rPr>
                <w:rFonts w:eastAsia="Times New Roman" w:cs="Times New Roman"/>
                <w:lang w:eastAsia="mk-MK"/>
              </w:rPr>
            </w:pPr>
            <w:r w:rsidRPr="00090564">
              <w:rPr>
                <w:rFonts w:eastAsia="Times New Roman" w:cs="Times New Roman"/>
                <w:lang w:eastAsia="mk-MK"/>
              </w:rPr>
              <w:t>Скопски регион</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FF5838" w:rsidRDefault="003452BC" w:rsidP="003452BC">
            <w:pPr>
              <w:pStyle w:val="Obr-TabText2"/>
              <w:jc w:val="left"/>
            </w:pPr>
            <w:r>
              <w:rPr>
                <w:lang w:val="en-GB"/>
              </w:rPr>
              <w:t xml:space="preserve">   </w:t>
            </w:r>
            <w:r w:rsidR="0024089A">
              <w:t>62</w:t>
            </w:r>
          </w:p>
        </w:tc>
        <w:tc>
          <w:tcPr>
            <w:tcW w:w="707" w:type="dxa"/>
            <w:tcBorders>
              <w:top w:val="nil"/>
              <w:left w:val="nil"/>
              <w:bottom w:val="single" w:sz="4" w:space="0" w:color="auto"/>
              <w:right w:val="single" w:sz="4" w:space="0" w:color="auto"/>
            </w:tcBorders>
            <w:shd w:val="clear" w:color="000000" w:fill="EBF1DE"/>
            <w:noWrap/>
            <w:vAlign w:val="bottom"/>
            <w:hideMark/>
          </w:tcPr>
          <w:p w:rsidR="000B021B" w:rsidRPr="00FF5838" w:rsidRDefault="00FF5838" w:rsidP="00330705">
            <w:pPr>
              <w:pStyle w:val="Obr-TabText2"/>
            </w:pPr>
            <w:r>
              <w:t>4</w:t>
            </w:r>
          </w:p>
        </w:tc>
        <w:tc>
          <w:tcPr>
            <w:tcW w:w="693" w:type="dxa"/>
            <w:tcBorders>
              <w:top w:val="nil"/>
              <w:left w:val="nil"/>
              <w:bottom w:val="single" w:sz="4" w:space="0" w:color="auto"/>
              <w:right w:val="single" w:sz="4" w:space="0" w:color="auto"/>
            </w:tcBorders>
            <w:shd w:val="clear" w:color="000000" w:fill="EBF1DE"/>
            <w:noWrap/>
            <w:vAlign w:val="bottom"/>
            <w:hideMark/>
          </w:tcPr>
          <w:p w:rsidR="000B021B" w:rsidRPr="00FF5838" w:rsidRDefault="00E4642C" w:rsidP="003452BC">
            <w:pPr>
              <w:pStyle w:val="Obr-TabText2"/>
              <w:jc w:val="left"/>
            </w:pPr>
            <w:r>
              <w:rPr>
                <w:lang w:val="en-GB"/>
              </w:rPr>
              <w:t xml:space="preserve">  </w:t>
            </w:r>
            <w:r w:rsidR="00FF5838">
              <w:t>8</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FF5838" w:rsidRDefault="00FF5838" w:rsidP="00330705">
            <w:pPr>
              <w:pStyle w:val="Obr-TabText2"/>
            </w:pPr>
            <w:r>
              <w:t>66</w:t>
            </w:r>
          </w:p>
        </w:tc>
        <w:tc>
          <w:tcPr>
            <w:tcW w:w="700" w:type="dxa"/>
            <w:tcBorders>
              <w:top w:val="nil"/>
              <w:left w:val="nil"/>
              <w:bottom w:val="single" w:sz="4" w:space="0" w:color="auto"/>
              <w:right w:val="single" w:sz="4" w:space="0" w:color="auto"/>
            </w:tcBorders>
            <w:shd w:val="clear" w:color="000000" w:fill="EBF1DE"/>
            <w:noWrap/>
            <w:vAlign w:val="bottom"/>
            <w:hideMark/>
          </w:tcPr>
          <w:p w:rsidR="000B021B" w:rsidRPr="00FF5838" w:rsidRDefault="00FF5838" w:rsidP="00330705">
            <w:pPr>
              <w:pStyle w:val="Obr-TabText2"/>
            </w:pPr>
            <w:r>
              <w:t>8</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Аеродром</w:t>
            </w:r>
          </w:p>
        </w:tc>
        <w:tc>
          <w:tcPr>
            <w:tcW w:w="700"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1"/>
            </w:pPr>
            <w:r>
              <w:t>1</w:t>
            </w:r>
            <w:r w:rsidR="0024089A">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A04125" w:rsidRDefault="00A04125" w:rsidP="00330705">
            <w:pPr>
              <w:pStyle w:val="Obr-TabText1"/>
            </w:pPr>
            <w: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FF5838" w:rsidRDefault="00FF5838" w:rsidP="00330705">
            <w:pPr>
              <w:pStyle w:val="Obr-TabText2"/>
            </w:pPr>
            <w:r>
              <w:t>12</w:t>
            </w:r>
          </w:p>
        </w:tc>
        <w:tc>
          <w:tcPr>
            <w:tcW w:w="700" w:type="dxa"/>
            <w:tcBorders>
              <w:top w:val="nil"/>
              <w:left w:val="nil"/>
              <w:bottom w:val="single" w:sz="4" w:space="0" w:color="auto"/>
              <w:right w:val="single" w:sz="4" w:space="0" w:color="auto"/>
            </w:tcBorders>
            <w:shd w:val="clear" w:color="auto" w:fill="auto"/>
            <w:noWrap/>
            <w:vAlign w:val="bottom"/>
          </w:tcPr>
          <w:p w:rsidR="000B021B" w:rsidRPr="00FF5838" w:rsidRDefault="00FF5838" w:rsidP="00330705">
            <w:pPr>
              <w:pStyle w:val="Obr-TabText2"/>
              <w:rPr>
                <w:rFonts w:eastAsia="Times New Roman" w:cs="Times New Roman"/>
                <w:color w:val="000000"/>
                <w:sz w:val="20"/>
              </w:rPr>
            </w:pPr>
            <w:r>
              <w:rPr>
                <w:rFonts w:eastAsia="Times New Roman" w:cs="Times New Roman"/>
                <w:color w:val="000000"/>
                <w:sz w:val="20"/>
              </w:rP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Арачиново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Бутел</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24089A" w:rsidP="00330705">
            <w:pPr>
              <w:pStyle w:val="Obr-TabText1"/>
            </w:pPr>
            <w:r>
              <w:t>2</w:t>
            </w: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6A0AE3" w:rsidP="00330705">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F21872">
        <w:trPr>
          <w:trHeight w:val="372"/>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Гази Баба</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B12151" w:rsidP="00330705">
            <w:pPr>
              <w:pStyle w:val="Obr-TabText1"/>
            </w:pPr>
            <w:r>
              <w:t>4</w:t>
            </w: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B12151" w:rsidP="00330705">
            <w:pPr>
              <w:pStyle w:val="Obr-TabText2"/>
            </w:pPr>
            <w:r>
              <w:t>4</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Ѓорче Петров</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24089A" w:rsidP="00330705">
            <w:pPr>
              <w:pStyle w:val="Obr-TabText1"/>
            </w:pPr>
            <w:r>
              <w:t>4</w:t>
            </w: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5C5371" w:rsidP="00330705">
            <w:pPr>
              <w:pStyle w:val="Obr-TabText1"/>
            </w:pPr>
            <w: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FF5838" w:rsidP="00330705">
            <w:pPr>
              <w:pStyle w:val="Obr-TabText2"/>
            </w:pPr>
            <w:r>
              <w:t>3</w:t>
            </w:r>
          </w:p>
        </w:tc>
        <w:tc>
          <w:tcPr>
            <w:tcW w:w="700" w:type="dxa"/>
            <w:tcBorders>
              <w:top w:val="nil"/>
              <w:left w:val="nil"/>
              <w:bottom w:val="single" w:sz="4" w:space="0" w:color="auto"/>
              <w:right w:val="single" w:sz="4" w:space="0" w:color="auto"/>
            </w:tcBorders>
            <w:shd w:val="clear" w:color="auto" w:fill="auto"/>
            <w:noWrap/>
            <w:vAlign w:val="bottom"/>
          </w:tcPr>
          <w:p w:rsidR="000B021B" w:rsidRPr="00FF5838" w:rsidRDefault="00E4642C" w:rsidP="00F21872">
            <w:pPr>
              <w:pStyle w:val="Obr-TabText2"/>
              <w:jc w:val="left"/>
              <w:rPr>
                <w:rFonts w:eastAsia="Times New Roman" w:cs="Times New Roman"/>
                <w:color w:val="000000"/>
                <w:sz w:val="20"/>
              </w:rPr>
            </w:pPr>
            <w:r>
              <w:rPr>
                <w:rFonts w:eastAsia="Times New Roman" w:cs="Times New Roman"/>
                <w:color w:val="000000"/>
                <w:sz w:val="20"/>
                <w:lang w:val="en-GB"/>
              </w:rPr>
              <w:t xml:space="preserve">   </w:t>
            </w:r>
            <w:r w:rsidR="00FF5838">
              <w:rPr>
                <w:rFonts w:eastAsia="Times New Roman" w:cs="Times New Roman"/>
                <w:color w:val="000000"/>
                <w:sz w:val="20"/>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69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Зелениково</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Илинден</w:t>
            </w:r>
          </w:p>
        </w:tc>
        <w:tc>
          <w:tcPr>
            <w:tcW w:w="700"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7"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693" w:type="dxa"/>
            <w:tcBorders>
              <w:top w:val="nil"/>
              <w:left w:val="nil"/>
              <w:bottom w:val="single" w:sz="4" w:space="0" w:color="auto"/>
              <w:right w:val="single" w:sz="4" w:space="0" w:color="auto"/>
            </w:tcBorders>
            <w:shd w:val="clear" w:color="auto" w:fill="auto"/>
            <w:noWrap/>
            <w:vAlign w:val="bottom"/>
          </w:tcPr>
          <w:p w:rsidR="000B021B" w:rsidRPr="00330705" w:rsidRDefault="000B021B" w:rsidP="00330705">
            <w:pPr>
              <w:pStyle w:val="Obr-TabText1"/>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71</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Карпош</w:t>
            </w:r>
          </w:p>
        </w:tc>
        <w:tc>
          <w:tcPr>
            <w:tcW w:w="700" w:type="dxa"/>
            <w:tcBorders>
              <w:top w:val="nil"/>
              <w:left w:val="nil"/>
              <w:bottom w:val="single" w:sz="4" w:space="0" w:color="auto"/>
              <w:right w:val="single" w:sz="4" w:space="0" w:color="auto"/>
            </w:tcBorders>
            <w:shd w:val="clear" w:color="auto" w:fill="auto"/>
            <w:noWrap/>
            <w:vAlign w:val="bottom"/>
          </w:tcPr>
          <w:p w:rsidR="000B021B" w:rsidRPr="006A0AE3" w:rsidRDefault="00B12151" w:rsidP="00330705">
            <w:pPr>
              <w:pStyle w:val="Obr-TabText1"/>
            </w:pPr>
            <w:r>
              <w:t>1</w:t>
            </w:r>
            <w:r w:rsidR="00FF5838">
              <w:t>4</w:t>
            </w:r>
          </w:p>
        </w:tc>
        <w:tc>
          <w:tcPr>
            <w:tcW w:w="707" w:type="dxa"/>
            <w:tcBorders>
              <w:top w:val="nil"/>
              <w:left w:val="nil"/>
              <w:bottom w:val="single" w:sz="4" w:space="0" w:color="auto"/>
              <w:right w:val="single" w:sz="4" w:space="0" w:color="auto"/>
            </w:tcBorders>
            <w:shd w:val="clear" w:color="auto" w:fill="auto"/>
            <w:noWrap/>
            <w:vAlign w:val="bottom"/>
          </w:tcPr>
          <w:p w:rsidR="000B021B" w:rsidRPr="00FF5838" w:rsidRDefault="00FF5838" w:rsidP="00330705">
            <w:pPr>
              <w:pStyle w:val="Obr-TabText1"/>
            </w:pPr>
            <w:r>
              <w:t>1</w:t>
            </w:r>
          </w:p>
        </w:tc>
        <w:tc>
          <w:tcPr>
            <w:tcW w:w="693" w:type="dxa"/>
            <w:tcBorders>
              <w:top w:val="nil"/>
              <w:left w:val="nil"/>
              <w:bottom w:val="single" w:sz="4" w:space="0" w:color="auto"/>
              <w:right w:val="single" w:sz="4" w:space="0" w:color="auto"/>
            </w:tcBorders>
            <w:shd w:val="clear" w:color="auto" w:fill="auto"/>
            <w:noWrap/>
            <w:vAlign w:val="bottom"/>
          </w:tcPr>
          <w:p w:rsidR="000B021B" w:rsidRPr="003452BC" w:rsidRDefault="00E4642C" w:rsidP="00330705">
            <w:pPr>
              <w:pStyle w:val="Obr-TabText1"/>
              <w:rPr>
                <w:lang w:val="en-GB"/>
              </w:rPr>
            </w:pPr>
            <w:r>
              <w:rPr>
                <w:lang w:val="en-GB"/>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FF5838" w:rsidRDefault="00B12151" w:rsidP="00330705">
            <w:pPr>
              <w:pStyle w:val="Obr-TabText2"/>
            </w:pPr>
            <w:r>
              <w:t>1</w:t>
            </w:r>
            <w:r w:rsidR="00FF5838">
              <w:t>7</w:t>
            </w:r>
          </w:p>
        </w:tc>
        <w:tc>
          <w:tcPr>
            <w:tcW w:w="700" w:type="dxa"/>
            <w:tcBorders>
              <w:top w:val="nil"/>
              <w:left w:val="nil"/>
              <w:bottom w:val="single" w:sz="4" w:space="0" w:color="auto"/>
              <w:right w:val="single" w:sz="4" w:space="0" w:color="auto"/>
            </w:tcBorders>
            <w:shd w:val="clear" w:color="auto" w:fill="auto"/>
            <w:noWrap/>
            <w:vAlign w:val="bottom"/>
          </w:tcPr>
          <w:p w:rsidR="000B021B" w:rsidRPr="00E4642C" w:rsidRDefault="00E4642C" w:rsidP="00330705">
            <w:pPr>
              <w:pStyle w:val="Obr-TabText2"/>
              <w:rPr>
                <w:rFonts w:eastAsia="Times New Roman" w:cs="Times New Roman"/>
                <w:color w:val="000000"/>
                <w:sz w:val="20"/>
                <w:lang w:val="en-GB"/>
              </w:rPr>
            </w:pPr>
            <w:r>
              <w:rPr>
                <w:rFonts w:eastAsia="Times New Roman" w:cs="Times New Roman"/>
                <w:color w:val="000000"/>
                <w:sz w:val="20"/>
                <w:lang w:val="en-GB"/>
              </w:rP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72</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Кисела Вода</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FF5838" w:rsidP="00330705">
            <w:pPr>
              <w:pStyle w:val="Obr-TabText1"/>
              <w:rPr>
                <w:lang w:eastAsia="mk-MK"/>
              </w:rPr>
            </w:pPr>
            <w:r>
              <w:rPr>
                <w:lang w:eastAsia="mk-MK"/>
              </w:rPr>
              <w:t>5</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FF5838" w:rsidP="00330705">
            <w:pPr>
              <w:pStyle w:val="Obr-TabText1"/>
              <w:rPr>
                <w:lang w:eastAsia="mk-MK"/>
              </w:rPr>
            </w:pPr>
            <w:r>
              <w:rPr>
                <w:lang w:eastAsia="mk-MK"/>
              </w:rPr>
              <w:t>1</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FF5838" w:rsidP="00330705">
            <w:pPr>
              <w:pStyle w:val="Obr-TabText2"/>
            </w:pPr>
            <w:r>
              <w:t>6</w:t>
            </w:r>
          </w:p>
        </w:tc>
        <w:tc>
          <w:tcPr>
            <w:tcW w:w="700" w:type="dxa"/>
            <w:tcBorders>
              <w:top w:val="nil"/>
              <w:left w:val="nil"/>
              <w:bottom w:val="single" w:sz="4" w:space="0" w:color="auto"/>
              <w:right w:val="single" w:sz="4" w:space="0" w:color="auto"/>
            </w:tcBorders>
            <w:shd w:val="clear" w:color="auto" w:fill="auto"/>
            <w:noWrap/>
            <w:vAlign w:val="bottom"/>
          </w:tcPr>
          <w:p w:rsidR="000B021B" w:rsidRPr="00FF5838" w:rsidRDefault="00FF5838" w:rsidP="00330705">
            <w:pPr>
              <w:pStyle w:val="Obr-TabText2"/>
              <w:rPr>
                <w:rFonts w:eastAsia="Times New Roman" w:cs="Times New Roman"/>
                <w:color w:val="000000"/>
                <w:sz w:val="20"/>
              </w:rPr>
            </w:pPr>
            <w:r>
              <w:rPr>
                <w:rFonts w:eastAsia="Times New Roman" w:cs="Times New Roman"/>
                <w:color w:val="000000"/>
                <w:sz w:val="20"/>
              </w:rPr>
              <w:t>1</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73</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Петровец</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74</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Сарај</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B12151"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B12151"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75</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Сопиште</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6A0AE3" w:rsidP="00330705">
            <w:pPr>
              <w:pStyle w:val="Obr-TabText2"/>
            </w:pPr>
            <w:r>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76</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Студеничани</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lastRenderedPageBreak/>
              <w:t>77</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Центар</w:t>
            </w:r>
          </w:p>
        </w:tc>
        <w:tc>
          <w:tcPr>
            <w:tcW w:w="700" w:type="dxa"/>
            <w:tcBorders>
              <w:top w:val="nil"/>
              <w:left w:val="nil"/>
              <w:bottom w:val="single" w:sz="4" w:space="0" w:color="auto"/>
              <w:right w:val="single" w:sz="4" w:space="0" w:color="auto"/>
            </w:tcBorders>
            <w:shd w:val="clear" w:color="auto" w:fill="auto"/>
            <w:noWrap/>
            <w:vAlign w:val="bottom"/>
          </w:tcPr>
          <w:p w:rsidR="000B021B" w:rsidRPr="00FF5838" w:rsidRDefault="00FF5838" w:rsidP="00330705">
            <w:pPr>
              <w:pStyle w:val="Obr-TabText1"/>
              <w:rPr>
                <w:lang w:eastAsia="mk-MK"/>
              </w:rPr>
            </w:pPr>
            <w:r>
              <w:rPr>
                <w:lang w:eastAsia="mk-MK"/>
              </w:rPr>
              <w:t>1</w:t>
            </w:r>
            <w:r w:rsidR="0024089A">
              <w:rPr>
                <w:lang w:eastAsia="mk-MK"/>
              </w:rPr>
              <w:t>9</w:t>
            </w:r>
          </w:p>
        </w:tc>
        <w:tc>
          <w:tcPr>
            <w:tcW w:w="707" w:type="dxa"/>
            <w:tcBorders>
              <w:top w:val="nil"/>
              <w:left w:val="nil"/>
              <w:bottom w:val="single" w:sz="4" w:space="0" w:color="auto"/>
              <w:right w:val="single" w:sz="4" w:space="0" w:color="auto"/>
            </w:tcBorders>
            <w:shd w:val="clear" w:color="auto" w:fill="auto"/>
            <w:noWrap/>
            <w:vAlign w:val="bottom"/>
          </w:tcPr>
          <w:p w:rsidR="000B021B" w:rsidRPr="00FF5838" w:rsidRDefault="00FF5838" w:rsidP="00330705">
            <w:pPr>
              <w:pStyle w:val="Obr-TabText1"/>
              <w:rPr>
                <w:lang w:eastAsia="mk-MK"/>
              </w:rPr>
            </w:pPr>
            <w:r>
              <w:rPr>
                <w:lang w:eastAsia="mk-MK"/>
              </w:rPr>
              <w:t>3</w:t>
            </w:r>
          </w:p>
        </w:tc>
        <w:tc>
          <w:tcPr>
            <w:tcW w:w="693" w:type="dxa"/>
            <w:tcBorders>
              <w:top w:val="nil"/>
              <w:left w:val="nil"/>
              <w:bottom w:val="single" w:sz="4" w:space="0" w:color="auto"/>
              <w:right w:val="single" w:sz="4" w:space="0" w:color="auto"/>
            </w:tcBorders>
            <w:shd w:val="clear" w:color="auto" w:fill="auto"/>
            <w:noWrap/>
            <w:vAlign w:val="bottom"/>
          </w:tcPr>
          <w:p w:rsidR="000B021B" w:rsidRPr="00FF5838" w:rsidRDefault="003452BC" w:rsidP="003452BC">
            <w:pPr>
              <w:pStyle w:val="Obr-TabText1"/>
              <w:jc w:val="left"/>
              <w:rPr>
                <w:lang w:eastAsia="mk-MK"/>
              </w:rPr>
            </w:pPr>
            <w:r>
              <w:rPr>
                <w:lang w:val="en-GB" w:eastAsia="mk-MK"/>
              </w:rPr>
              <w:t xml:space="preserve">   </w:t>
            </w:r>
            <w:r w:rsidR="00FF5838">
              <w:rPr>
                <w:lang w:eastAsia="mk-MK"/>
              </w:rPr>
              <w:t>2</w:t>
            </w: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FF5838" w:rsidRDefault="00B12151" w:rsidP="00B12151">
            <w:pPr>
              <w:pStyle w:val="Obr-TabText2"/>
              <w:jc w:val="left"/>
            </w:pPr>
            <w:r>
              <w:t xml:space="preserve">  </w:t>
            </w:r>
            <w:r w:rsidR="00FF5838">
              <w:t>22</w:t>
            </w:r>
          </w:p>
        </w:tc>
        <w:tc>
          <w:tcPr>
            <w:tcW w:w="700" w:type="dxa"/>
            <w:tcBorders>
              <w:top w:val="nil"/>
              <w:left w:val="nil"/>
              <w:bottom w:val="single" w:sz="4" w:space="0" w:color="auto"/>
              <w:right w:val="single" w:sz="4" w:space="0" w:color="auto"/>
            </w:tcBorders>
            <w:shd w:val="clear" w:color="auto" w:fill="auto"/>
            <w:noWrap/>
            <w:vAlign w:val="bottom"/>
          </w:tcPr>
          <w:p w:rsidR="000B021B" w:rsidRPr="00FF5838" w:rsidRDefault="00FF5838" w:rsidP="00330705">
            <w:pPr>
              <w:pStyle w:val="Obr-TabText2"/>
              <w:rPr>
                <w:rFonts w:eastAsia="Times New Roman" w:cs="Times New Roman"/>
                <w:color w:val="000000"/>
                <w:sz w:val="20"/>
              </w:rPr>
            </w:pPr>
            <w:r>
              <w:rPr>
                <w:rFonts w:eastAsia="Times New Roman" w:cs="Times New Roman"/>
                <w:color w:val="000000"/>
                <w:sz w:val="20"/>
              </w:rPr>
              <w:t>2</w:t>
            </w: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78</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Чаир</w:t>
            </w:r>
          </w:p>
        </w:tc>
        <w:tc>
          <w:tcPr>
            <w:tcW w:w="700" w:type="dxa"/>
            <w:tcBorders>
              <w:top w:val="nil"/>
              <w:left w:val="nil"/>
              <w:bottom w:val="single" w:sz="4" w:space="0" w:color="auto"/>
              <w:right w:val="single" w:sz="4" w:space="0" w:color="auto"/>
            </w:tcBorders>
            <w:shd w:val="clear" w:color="auto" w:fill="auto"/>
            <w:noWrap/>
            <w:vAlign w:val="bottom"/>
          </w:tcPr>
          <w:p w:rsidR="000B021B" w:rsidRPr="00AC54C7" w:rsidRDefault="00FF5838" w:rsidP="00330705">
            <w:pPr>
              <w:pStyle w:val="Obr-TabText1"/>
              <w:rPr>
                <w:lang w:eastAsia="mk-MK"/>
              </w:rPr>
            </w:pPr>
            <w:r>
              <w:rPr>
                <w:lang w:eastAsia="mk-MK"/>
              </w:rPr>
              <w:t>1</w:t>
            </w:r>
          </w:p>
        </w:tc>
        <w:tc>
          <w:tcPr>
            <w:tcW w:w="707"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bottom"/>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FF5838" w:rsidP="00330705">
            <w:pPr>
              <w:pStyle w:val="Obr-TabText2"/>
            </w:pPr>
            <w:r>
              <w:t>1</w:t>
            </w:r>
          </w:p>
        </w:tc>
        <w:tc>
          <w:tcPr>
            <w:tcW w:w="700" w:type="dxa"/>
            <w:tcBorders>
              <w:top w:val="nil"/>
              <w:left w:val="nil"/>
              <w:bottom w:val="single" w:sz="4" w:space="0" w:color="auto"/>
              <w:right w:val="single" w:sz="4" w:space="0" w:color="auto"/>
            </w:tcBorders>
            <w:shd w:val="clear" w:color="auto" w:fill="auto"/>
            <w:noWrap/>
            <w:vAlign w:val="bottom"/>
          </w:tcPr>
          <w:p w:rsidR="000B021B" w:rsidRPr="00FF5838"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Pr="00AC54C7" w:rsidRDefault="000B021B" w:rsidP="00330705">
            <w:pPr>
              <w:pStyle w:val="Obr-TabNaslov"/>
              <w:rPr>
                <w:rFonts w:cs="Times New Roman"/>
                <w:color w:val="000000"/>
                <w:lang w:eastAsia="mk-MK"/>
              </w:rPr>
            </w:pPr>
            <w:r>
              <w:rPr>
                <w:rFonts w:cs="Times New Roman"/>
                <w:color w:val="000000"/>
                <w:lang w:eastAsia="mk-MK"/>
              </w:rPr>
              <w:t>79</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Чучер-Сандево</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rPr>
                <w:rFonts w:eastAsia="Times New Roman" w:cs="Times New Roman"/>
                <w:color w:val="000000"/>
                <w:sz w:val="20"/>
              </w:rPr>
            </w:pPr>
          </w:p>
        </w:tc>
      </w:tr>
      <w:tr w:rsidR="000B021B" w:rsidRPr="00AC54C7" w:rsidTr="00902308">
        <w:trPr>
          <w:trHeight w:val="227"/>
          <w:jc w:val="center"/>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0B021B" w:rsidRDefault="000B021B" w:rsidP="00330705">
            <w:pPr>
              <w:pStyle w:val="Obr-TabNaslov"/>
              <w:rPr>
                <w:rFonts w:cs="Times New Roman"/>
                <w:color w:val="000000"/>
                <w:lang w:eastAsia="mk-MK"/>
              </w:rPr>
            </w:pPr>
            <w:r>
              <w:rPr>
                <w:rFonts w:cs="Times New Roman"/>
                <w:color w:val="000000"/>
                <w:lang w:eastAsia="mk-MK"/>
              </w:rPr>
              <w:t>80</w:t>
            </w:r>
          </w:p>
        </w:tc>
        <w:tc>
          <w:tcPr>
            <w:tcW w:w="23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Naslov2"/>
              <w:rPr>
                <w:rFonts w:eastAsia="Times New Roman" w:cs="Times New Roman"/>
                <w:color w:val="000000"/>
                <w:lang w:eastAsia="mk-MK"/>
              </w:rPr>
            </w:pPr>
            <w:r>
              <w:rPr>
                <w:rFonts w:eastAsia="Times New Roman" w:cs="Times New Roman"/>
                <w:color w:val="000000"/>
                <w:lang w:eastAsia="mk-MK"/>
              </w:rPr>
              <w:t>Шуто Оризари</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7"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693"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1"/>
              <w:rPr>
                <w:lang w:eastAsia="mk-MK"/>
              </w:rPr>
            </w:pPr>
          </w:p>
        </w:tc>
        <w:tc>
          <w:tcPr>
            <w:tcW w:w="700" w:type="dxa"/>
            <w:tcBorders>
              <w:top w:val="nil"/>
              <w:left w:val="nil"/>
              <w:bottom w:val="single" w:sz="4" w:space="0" w:color="auto"/>
              <w:right w:val="single" w:sz="4" w:space="0" w:color="auto"/>
            </w:tcBorders>
            <w:shd w:val="clear" w:color="auto" w:fill="auto"/>
            <w:noWrap/>
            <w:vAlign w:val="center"/>
            <w:hideMark/>
          </w:tcPr>
          <w:p w:rsidR="000B021B" w:rsidRPr="00AC54C7" w:rsidRDefault="000B021B" w:rsidP="00330705">
            <w:pPr>
              <w:pStyle w:val="Obr-TabText2"/>
            </w:pPr>
            <w:r w:rsidRPr="00AC54C7">
              <w:t>0</w:t>
            </w:r>
          </w:p>
        </w:tc>
        <w:tc>
          <w:tcPr>
            <w:tcW w:w="700" w:type="dxa"/>
            <w:tcBorders>
              <w:top w:val="nil"/>
              <w:left w:val="nil"/>
              <w:bottom w:val="single" w:sz="4" w:space="0" w:color="auto"/>
              <w:right w:val="single" w:sz="4" w:space="0" w:color="auto"/>
            </w:tcBorders>
            <w:shd w:val="clear" w:color="auto" w:fill="auto"/>
            <w:noWrap/>
            <w:vAlign w:val="center"/>
          </w:tcPr>
          <w:p w:rsidR="000B021B" w:rsidRPr="00AC54C7" w:rsidRDefault="000B021B" w:rsidP="00330705">
            <w:pPr>
              <w:pStyle w:val="Obr-TabText2"/>
              <w:rPr>
                <w:rFonts w:eastAsia="Times New Roman" w:cs="Times New Roman"/>
                <w:color w:val="000000"/>
                <w:sz w:val="20"/>
              </w:rPr>
            </w:pPr>
          </w:p>
        </w:tc>
      </w:tr>
      <w:tr w:rsidR="000B021B" w:rsidRPr="00AC54C7" w:rsidTr="000B021B">
        <w:trPr>
          <w:trHeight w:val="283"/>
          <w:jc w:val="center"/>
        </w:trPr>
        <w:tc>
          <w:tcPr>
            <w:tcW w:w="31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B021B" w:rsidRPr="00AC54C7" w:rsidRDefault="000B021B" w:rsidP="00330705">
            <w:pPr>
              <w:pStyle w:val="Obr-TabNaslov"/>
              <w:rPr>
                <w:rFonts w:cs="Times New Roman"/>
                <w:color w:val="000000"/>
                <w:lang w:eastAsia="mk-MK"/>
              </w:rPr>
            </w:pPr>
            <w:r w:rsidRPr="00AC54C7">
              <w:rPr>
                <w:rFonts w:cs="Times New Roman"/>
                <w:color w:val="000000"/>
                <w:lang w:eastAsia="mk-MK"/>
              </w:rPr>
              <w:t>ВКУПНО</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FF5838" w:rsidRDefault="00925F57" w:rsidP="000D4C3E">
            <w:pPr>
              <w:pStyle w:val="Obr-TabText2"/>
              <w:jc w:val="left"/>
            </w:pPr>
            <w:r>
              <w:rPr>
                <w:lang w:val="en-GB"/>
              </w:rPr>
              <w:t>1</w:t>
            </w:r>
            <w:r w:rsidR="0024089A">
              <w:t>57</w:t>
            </w:r>
          </w:p>
        </w:tc>
        <w:tc>
          <w:tcPr>
            <w:tcW w:w="707" w:type="dxa"/>
            <w:tcBorders>
              <w:top w:val="nil"/>
              <w:left w:val="nil"/>
              <w:bottom w:val="single" w:sz="4" w:space="0" w:color="auto"/>
              <w:right w:val="single" w:sz="4" w:space="0" w:color="auto"/>
            </w:tcBorders>
            <w:shd w:val="clear" w:color="000000" w:fill="EBF1DE"/>
            <w:noWrap/>
            <w:vAlign w:val="center"/>
            <w:hideMark/>
          </w:tcPr>
          <w:p w:rsidR="000B021B" w:rsidRPr="00FF5838" w:rsidRDefault="00FF5838" w:rsidP="00330705">
            <w:pPr>
              <w:pStyle w:val="Obr-TabText2"/>
            </w:pPr>
            <w:r>
              <w:t>9</w:t>
            </w:r>
          </w:p>
        </w:tc>
        <w:tc>
          <w:tcPr>
            <w:tcW w:w="693" w:type="dxa"/>
            <w:tcBorders>
              <w:top w:val="nil"/>
              <w:left w:val="nil"/>
              <w:bottom w:val="single" w:sz="4" w:space="0" w:color="auto"/>
              <w:right w:val="single" w:sz="4" w:space="0" w:color="auto"/>
            </w:tcBorders>
            <w:shd w:val="clear" w:color="000000" w:fill="EBF1DE"/>
            <w:noWrap/>
            <w:vAlign w:val="center"/>
            <w:hideMark/>
          </w:tcPr>
          <w:p w:rsidR="000B021B" w:rsidRPr="00FF5838" w:rsidRDefault="00FF5838" w:rsidP="00330705">
            <w:pPr>
              <w:pStyle w:val="Obr-TabText2"/>
            </w:pPr>
            <w:r>
              <w:t>2</w:t>
            </w:r>
            <w:r w:rsidR="0024089A">
              <w:t>5</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FF5838" w:rsidRDefault="00FF5838" w:rsidP="00330705">
            <w:pPr>
              <w:pStyle w:val="Obr-TabText2"/>
            </w:pPr>
            <w:r>
              <w:t>1</w:t>
            </w:r>
            <w:r w:rsidR="0024089A">
              <w:t>91</w:t>
            </w:r>
          </w:p>
        </w:tc>
        <w:tc>
          <w:tcPr>
            <w:tcW w:w="700" w:type="dxa"/>
            <w:tcBorders>
              <w:top w:val="nil"/>
              <w:left w:val="nil"/>
              <w:bottom w:val="single" w:sz="4" w:space="0" w:color="auto"/>
              <w:right w:val="single" w:sz="4" w:space="0" w:color="auto"/>
            </w:tcBorders>
            <w:shd w:val="clear" w:color="000000" w:fill="EBF1DE"/>
            <w:noWrap/>
            <w:vAlign w:val="center"/>
            <w:hideMark/>
          </w:tcPr>
          <w:p w:rsidR="000B021B" w:rsidRPr="00FF5838" w:rsidRDefault="00FF5838" w:rsidP="00330705">
            <w:pPr>
              <w:pStyle w:val="Obr-TabText2"/>
            </w:pPr>
            <w:r>
              <w:t>2</w:t>
            </w:r>
            <w:r w:rsidR="0027116B">
              <w:t>5</w:t>
            </w:r>
          </w:p>
        </w:tc>
      </w:tr>
    </w:tbl>
    <w:p w:rsidR="00531C7C" w:rsidRPr="000E2C48" w:rsidRDefault="00C75FCD" w:rsidP="00330705">
      <w:pPr>
        <w:pStyle w:val="Obr-Naslov1"/>
        <w:rPr>
          <w:rFonts w:ascii="StobiSans Regular" w:hAnsi="StobiSans Regular"/>
        </w:rPr>
      </w:pPr>
      <w:r w:rsidRPr="000E2C48">
        <w:rPr>
          <w:rFonts w:ascii="StobiSans Regular" w:hAnsi="StobiSans Regular"/>
        </w:rPr>
        <w:t xml:space="preserve">Обука </w:t>
      </w:r>
      <w:r w:rsidR="00531C7C" w:rsidRPr="000E2C48">
        <w:rPr>
          <w:rFonts w:ascii="StobiSans Regular" w:hAnsi="StobiSans Regular"/>
        </w:rPr>
        <w:t>на инспекторите и административн</w:t>
      </w:r>
      <w:r w:rsidRPr="000E2C48">
        <w:rPr>
          <w:rFonts w:ascii="StobiSans Regular" w:hAnsi="StobiSans Regular"/>
        </w:rPr>
        <w:t>ите службеници</w:t>
      </w:r>
    </w:p>
    <w:p w:rsidR="00246402" w:rsidRPr="000E2C48" w:rsidRDefault="00246402" w:rsidP="00AD1C1F">
      <w:pPr>
        <w:pStyle w:val="Obr-Tekst1"/>
        <w:jc w:val="left"/>
      </w:pPr>
      <w:r w:rsidRPr="000E2C48">
        <w:t xml:space="preserve">Согласно Годишната Програма за обука на инспекторите </w:t>
      </w:r>
      <w:r w:rsidR="00630D7A" w:rsidRPr="000E2C48">
        <w:t>за радијациона сигурност во 202</w:t>
      </w:r>
      <w:r w:rsidR="00630D7A" w:rsidRPr="000E2C48">
        <w:rPr>
          <w:lang w:val="en-GB"/>
        </w:rPr>
        <w:t>1</w:t>
      </w:r>
      <w:r w:rsidRPr="000E2C48">
        <w:t xml:space="preserve"> година планирани с</w:t>
      </w:r>
      <w:r w:rsidR="0073557A" w:rsidRPr="000E2C48">
        <w:t xml:space="preserve">е </w:t>
      </w:r>
      <w:r w:rsidR="009D16A1" w:rsidRPr="000E2C48">
        <w:t xml:space="preserve">општи/генерички обуки </w:t>
      </w:r>
      <w:r w:rsidR="009D16A1" w:rsidRPr="000E2C48">
        <w:rPr>
          <w:lang w:val="en-GB"/>
        </w:rPr>
        <w:t xml:space="preserve"> </w:t>
      </w:r>
      <w:r w:rsidR="0073557A" w:rsidRPr="000E2C48">
        <w:t xml:space="preserve">од областа на </w:t>
      </w:r>
    </w:p>
    <w:p w:rsidR="00246402" w:rsidRDefault="0073557A" w:rsidP="00AD1C1F">
      <w:pPr>
        <w:pStyle w:val="Obr-Tekst1"/>
        <w:numPr>
          <w:ilvl w:val="0"/>
          <w:numId w:val="26"/>
        </w:numPr>
        <w:jc w:val="left"/>
        <w:rPr>
          <w:lang w:val="en-GB"/>
        </w:rPr>
      </w:pPr>
      <w:r w:rsidRPr="000E2C48">
        <w:t>Законодавството</w:t>
      </w:r>
    </w:p>
    <w:p w:rsidR="00211779" w:rsidRPr="00211779" w:rsidRDefault="00211779" w:rsidP="00AD1C1F">
      <w:pPr>
        <w:pStyle w:val="Obr-Tekst1"/>
        <w:ind w:left="567" w:firstLine="0"/>
        <w:jc w:val="left"/>
      </w:pPr>
      <w:r>
        <w:t>Тема 1.4 Постапување по претставки и предлози, прекршочни одредби ( Закон за постапување по предлози и претставки)</w:t>
      </w:r>
    </w:p>
    <w:p w:rsidR="00246402" w:rsidRDefault="0073557A" w:rsidP="00AD1C1F">
      <w:pPr>
        <w:pStyle w:val="Obr-Tekst1"/>
        <w:numPr>
          <w:ilvl w:val="0"/>
          <w:numId w:val="26"/>
        </w:numPr>
        <w:jc w:val="left"/>
      </w:pPr>
      <w:r w:rsidRPr="000E2C48">
        <w:t>Зајакнување на ли</w:t>
      </w:r>
      <w:r w:rsidR="00F02F3B" w:rsidRPr="000E2C48">
        <w:t>ч</w:t>
      </w:r>
      <w:r w:rsidRPr="000E2C48">
        <w:t>ните капацитети</w:t>
      </w:r>
    </w:p>
    <w:p w:rsidR="00211779" w:rsidRDefault="00211779" w:rsidP="00AD1C1F">
      <w:pPr>
        <w:pStyle w:val="Obr-Tekst1"/>
        <w:ind w:left="567" w:firstLine="0"/>
        <w:jc w:val="left"/>
      </w:pPr>
      <w:r>
        <w:t>Тема 2.2 Компјутерска обработка и табеларни пресметки</w:t>
      </w:r>
    </w:p>
    <w:p w:rsidR="00211779" w:rsidRPr="000E2C48" w:rsidRDefault="00211779" w:rsidP="00AD1C1F">
      <w:pPr>
        <w:pStyle w:val="Obr-Tekst1"/>
        <w:ind w:left="567" w:firstLine="0"/>
        <w:jc w:val="left"/>
      </w:pPr>
      <w:r>
        <w:t>Тема 2.5 Комуникација</w:t>
      </w:r>
    </w:p>
    <w:p w:rsidR="00246402" w:rsidRPr="000E2C48" w:rsidRDefault="00246402" w:rsidP="00246402">
      <w:pPr>
        <w:pStyle w:val="Obr-Tekst1"/>
      </w:pPr>
      <w:r w:rsidRPr="000E2C48">
        <w:t>Генеричките обуки се во орга</w:t>
      </w:r>
      <w:r w:rsidR="00D72BF0" w:rsidRPr="000E2C48">
        <w:t xml:space="preserve">низација на Инспекцискиот Совет и се во согласност со донесената Годишна програма за </w:t>
      </w:r>
      <w:r w:rsidR="00AD1C1F">
        <w:t>Генерички</w:t>
      </w:r>
      <w:r w:rsidR="005E15D8" w:rsidRPr="000E2C48">
        <w:t xml:space="preserve"> обуки за инспекторите за 2021 година.</w:t>
      </w:r>
    </w:p>
    <w:p w:rsidR="00246402" w:rsidRPr="000E2C48" w:rsidRDefault="00246402" w:rsidP="00AD1C1F">
      <w:pPr>
        <w:pStyle w:val="Obr-Tekst1"/>
        <w:jc w:val="left"/>
      </w:pPr>
      <w:r w:rsidRPr="000E2C48">
        <w:t>Специјализираните обуки  кои се тематски посветени на радијационата сигурност и безбедност односно на областа во која инспекторите ги вршат  инспекциските надзори најчесто се во организација на  Меѓународната Агенција за Атомска</w:t>
      </w:r>
      <w:r w:rsidR="005E15D8" w:rsidRPr="000E2C48">
        <w:t xml:space="preserve"> Енергија</w:t>
      </w:r>
      <w:r w:rsidR="00773E2E">
        <w:t xml:space="preserve"> (</w:t>
      </w:r>
      <w:r w:rsidR="00052CD1" w:rsidRPr="000E2C48">
        <w:t xml:space="preserve">МААЕ), Европската Комисија и </w:t>
      </w:r>
      <w:r w:rsidRPr="000E2C48">
        <w:t>Американската амба</w:t>
      </w:r>
      <w:r w:rsidR="00052CD1" w:rsidRPr="000E2C48">
        <w:t>сада.</w:t>
      </w:r>
    </w:p>
    <w:p w:rsidR="00246402" w:rsidRPr="00AD1C1F" w:rsidRDefault="00246402" w:rsidP="00AD1C1F">
      <w:pPr>
        <w:pStyle w:val="Obr-Tekst1"/>
        <w:jc w:val="left"/>
        <w:rPr>
          <w:lang w:val="en-US"/>
        </w:rPr>
      </w:pPr>
      <w:r w:rsidRPr="000E2C48">
        <w:t>Обуки</w:t>
      </w:r>
      <w:r w:rsidR="00AD1C1F">
        <w:t>те</w:t>
      </w:r>
      <w:r w:rsidRPr="000E2C48">
        <w:t xml:space="preserve">  кои се планирани за спроведување од</w:t>
      </w:r>
      <w:r w:rsidR="00630D7A" w:rsidRPr="000E2C48">
        <w:t xml:space="preserve"> страна на инспекторите во 202</w:t>
      </w:r>
      <w:r w:rsidR="00630D7A" w:rsidRPr="000E2C48">
        <w:rPr>
          <w:lang w:val="en-GB"/>
        </w:rPr>
        <w:t xml:space="preserve">1 </w:t>
      </w:r>
      <w:r w:rsidRPr="000E2C48">
        <w:t>година, во најголема мера зависат од активните проекти  кои се организирани од страна на МААЕ и</w:t>
      </w:r>
      <w:r w:rsidR="00AD1C1F">
        <w:t xml:space="preserve"> Дирекцијата е активен учесник </w:t>
      </w:r>
      <w:r w:rsidRPr="000E2C48">
        <w:t>се</w:t>
      </w:r>
      <w:r w:rsidR="00AD1C1F">
        <w:rPr>
          <w:lang w:val="en-US"/>
        </w:rPr>
        <w:t>:</w:t>
      </w:r>
    </w:p>
    <w:p w:rsidR="00246402" w:rsidRPr="000E2C48" w:rsidRDefault="00B750CC" w:rsidP="00AD1C1F">
      <w:pPr>
        <w:pStyle w:val="Obr-Tekst1"/>
        <w:numPr>
          <w:ilvl w:val="0"/>
          <w:numId w:val="18"/>
        </w:numPr>
        <w:jc w:val="left"/>
        <w:rPr>
          <w:lang w:val="en-US"/>
        </w:rPr>
      </w:pPr>
      <w:r w:rsidRPr="000E2C48">
        <w:t>Б</w:t>
      </w:r>
      <w:r w:rsidR="00246402" w:rsidRPr="000E2C48">
        <w:t>езбедно управување со радиоактивен отпад и искористени радиоактивни извори,</w:t>
      </w:r>
    </w:p>
    <w:p w:rsidR="00246402" w:rsidRPr="000E2C48" w:rsidRDefault="00B750CC" w:rsidP="00AD1C1F">
      <w:pPr>
        <w:pStyle w:val="Obr-Tekst1"/>
        <w:numPr>
          <w:ilvl w:val="0"/>
          <w:numId w:val="18"/>
        </w:numPr>
        <w:jc w:val="left"/>
        <w:rPr>
          <w:lang w:val="en-US"/>
        </w:rPr>
      </w:pPr>
      <w:r w:rsidRPr="000E2C48">
        <w:t>Т</w:t>
      </w:r>
      <w:r w:rsidR="00246402" w:rsidRPr="000E2C48">
        <w:t>ранспорт на радиоактивен отпад,</w:t>
      </w:r>
    </w:p>
    <w:p w:rsidR="00246402" w:rsidRPr="000E2C48" w:rsidRDefault="00B750CC" w:rsidP="00AD1C1F">
      <w:pPr>
        <w:pStyle w:val="Obr-Tekst1"/>
        <w:numPr>
          <w:ilvl w:val="0"/>
          <w:numId w:val="18"/>
        </w:numPr>
        <w:jc w:val="left"/>
        <w:rPr>
          <w:lang w:val="en-US"/>
        </w:rPr>
      </w:pPr>
      <w:r w:rsidRPr="000E2C48">
        <w:t>Ј</w:t>
      </w:r>
      <w:r w:rsidR="00246402" w:rsidRPr="000E2C48">
        <w:t xml:space="preserve">акнење на инспекциските капацитети на регулаторните тела и </w:t>
      </w:r>
    </w:p>
    <w:p w:rsidR="00B750CC" w:rsidRPr="000E2C48" w:rsidRDefault="00246402" w:rsidP="00AD1C1F">
      <w:pPr>
        <w:pStyle w:val="Obr-Tekst1"/>
        <w:numPr>
          <w:ilvl w:val="0"/>
          <w:numId w:val="18"/>
        </w:numPr>
        <w:jc w:val="left"/>
      </w:pPr>
      <w:r w:rsidRPr="000E2C48">
        <w:t>Инциденти и вонредни настани,</w:t>
      </w:r>
    </w:p>
    <w:p w:rsidR="00B750CC" w:rsidRPr="000E2C48" w:rsidRDefault="00B750CC" w:rsidP="00AD1C1F">
      <w:pPr>
        <w:pStyle w:val="Obr-Tekst1"/>
        <w:ind w:firstLine="0"/>
        <w:jc w:val="left"/>
      </w:pPr>
    </w:p>
    <w:p w:rsidR="00B750CC" w:rsidRDefault="00B750CC" w:rsidP="00AD1C1F">
      <w:pPr>
        <w:pStyle w:val="Obr-Tekst1"/>
        <w:ind w:firstLine="0"/>
        <w:jc w:val="left"/>
        <w:rPr>
          <w:rFonts w:ascii="StobiSans Medium" w:hAnsi="StobiSans Medium"/>
        </w:rPr>
      </w:pPr>
    </w:p>
    <w:p w:rsidR="00B750CC" w:rsidRPr="008F674B" w:rsidRDefault="00B750CC" w:rsidP="00B750CC">
      <w:pPr>
        <w:pStyle w:val="Obr-Naslov1"/>
      </w:pPr>
      <w:r>
        <w:lastRenderedPageBreak/>
        <w:t>Буџет и финансирање</w:t>
      </w:r>
    </w:p>
    <w:p w:rsidR="00B750CC" w:rsidRDefault="00B750CC" w:rsidP="00B750CC">
      <w:pPr>
        <w:pStyle w:val="Obr-Tekst1"/>
      </w:pPr>
      <w:r>
        <w:t>Одделението за инспекциски надзор како внатрешна орган</w:t>
      </w:r>
      <w:r w:rsidR="00052CD1">
        <w:t xml:space="preserve">изациона единица на Дирекцијата нема сопствен буџет и </w:t>
      </w:r>
      <w:r>
        <w:t xml:space="preserve"> користи средства од буџетот на Дирекцијата, Вкупните приходи на Дирекцијата потекнуваат од </w:t>
      </w:r>
      <w:r>
        <w:rPr>
          <w:lang w:val="en-US"/>
        </w:rPr>
        <w:t xml:space="preserve"> </w:t>
      </w:r>
      <w:r>
        <w:t>Буџетот, одобрен од Собранието, и самофинансирачките активности (издавањето на лиценци и дозволи).</w:t>
      </w:r>
    </w:p>
    <w:p w:rsidR="00B750CC" w:rsidRPr="00B750CC" w:rsidRDefault="00B750CC" w:rsidP="0073557A">
      <w:pPr>
        <w:pStyle w:val="Obr-Tekst1"/>
        <w:ind w:firstLine="0"/>
        <w:rPr>
          <w:rFonts w:ascii="StobiSans Medium" w:hAnsi="StobiSans Medium"/>
        </w:rPr>
      </w:pPr>
    </w:p>
    <w:tbl>
      <w:tblPr>
        <w:tblStyle w:val="TableGrid"/>
        <w:tblW w:w="7371" w:type="dxa"/>
        <w:jc w:val="center"/>
        <w:tblLayout w:type="fixed"/>
        <w:tblCellMar>
          <w:top w:w="28" w:type="dxa"/>
          <w:left w:w="28" w:type="dxa"/>
          <w:bottom w:w="28" w:type="dxa"/>
          <w:right w:w="28" w:type="dxa"/>
        </w:tblCellMar>
        <w:tblLook w:val="04A0"/>
      </w:tblPr>
      <w:tblGrid>
        <w:gridCol w:w="2268"/>
        <w:gridCol w:w="1701"/>
        <w:gridCol w:w="1701"/>
        <w:gridCol w:w="1701"/>
      </w:tblGrid>
      <w:tr w:rsidR="00CF0E5F" w:rsidRPr="00BA11D6" w:rsidTr="00CF0E5F">
        <w:trPr>
          <w:jc w:val="center"/>
        </w:trPr>
        <w:tc>
          <w:tcPr>
            <w:tcW w:w="2268" w:type="dxa"/>
            <w:shd w:val="clear" w:color="auto" w:fill="F2F2F2" w:themeFill="background1" w:themeFillShade="F2"/>
            <w:vAlign w:val="center"/>
          </w:tcPr>
          <w:p w:rsidR="00CF0E5F" w:rsidRDefault="00CF0E5F" w:rsidP="00BE1A23">
            <w:pPr>
              <w:pStyle w:val="Obr-TabNaslov"/>
            </w:pPr>
            <w:r w:rsidRPr="00BA11D6">
              <w:t>Ставки</w:t>
            </w:r>
          </w:p>
        </w:tc>
        <w:tc>
          <w:tcPr>
            <w:tcW w:w="1701" w:type="dxa"/>
            <w:shd w:val="clear" w:color="auto" w:fill="F2F2F2" w:themeFill="background1" w:themeFillShade="F2"/>
            <w:vAlign w:val="center"/>
          </w:tcPr>
          <w:p w:rsidR="00CF0E5F" w:rsidRDefault="00CF0E5F" w:rsidP="00CF0E5F">
            <w:pPr>
              <w:pStyle w:val="Obr-TabNaslov"/>
            </w:pPr>
            <w:r w:rsidRPr="00BA11D6">
              <w:t>Расходи од буџет</w:t>
            </w:r>
          </w:p>
        </w:tc>
        <w:tc>
          <w:tcPr>
            <w:tcW w:w="1701" w:type="dxa"/>
            <w:shd w:val="clear" w:color="auto" w:fill="F2F2F2" w:themeFill="background1" w:themeFillShade="F2"/>
            <w:vAlign w:val="center"/>
          </w:tcPr>
          <w:p w:rsidR="00CF0E5F" w:rsidRDefault="00CF0E5F" w:rsidP="00CF0E5F">
            <w:pPr>
              <w:pStyle w:val="Obr-TabNaslov"/>
            </w:pPr>
            <w:r w:rsidRPr="00BA11D6">
              <w:t>Расходи од самофинансирање</w:t>
            </w:r>
          </w:p>
        </w:tc>
        <w:tc>
          <w:tcPr>
            <w:tcW w:w="1701" w:type="dxa"/>
            <w:shd w:val="clear" w:color="auto" w:fill="F2F2F2" w:themeFill="background1" w:themeFillShade="F2"/>
            <w:vAlign w:val="center"/>
          </w:tcPr>
          <w:p w:rsidR="00CF0E5F" w:rsidRDefault="00CF0E5F" w:rsidP="00CF0E5F">
            <w:pPr>
              <w:pStyle w:val="Obr-TabNaslov"/>
            </w:pPr>
            <w:r w:rsidRPr="00BA11D6">
              <w:t>Вкупно расходи</w:t>
            </w:r>
          </w:p>
        </w:tc>
      </w:tr>
      <w:tr w:rsidR="00CF0E5F" w:rsidRPr="000A29F4" w:rsidTr="00CF0E5F">
        <w:trPr>
          <w:jc w:val="center"/>
        </w:trPr>
        <w:tc>
          <w:tcPr>
            <w:tcW w:w="2268" w:type="dxa"/>
          </w:tcPr>
          <w:p w:rsidR="00CF0E5F" w:rsidRDefault="00CF0E5F" w:rsidP="00BE1A23">
            <w:pPr>
              <w:pStyle w:val="Obr-TabNaslov2"/>
            </w:pPr>
            <w:r w:rsidRPr="00BA11D6">
              <w:t xml:space="preserve">Основни плати </w:t>
            </w:r>
          </w:p>
        </w:tc>
        <w:tc>
          <w:tcPr>
            <w:tcW w:w="1701" w:type="dxa"/>
          </w:tcPr>
          <w:p w:rsidR="00CF0E5F" w:rsidRDefault="00CF0E5F" w:rsidP="00CF0E5F">
            <w:pPr>
              <w:pStyle w:val="Obr-TabText1"/>
            </w:pPr>
            <w:r>
              <w:rPr>
                <w:lang w:val="en-GB"/>
              </w:rPr>
              <w:t xml:space="preserve">792 </w:t>
            </w:r>
            <w:r w:rsidRPr="00BA11D6">
              <w:t>00</w:t>
            </w:r>
            <w:r>
              <w:rPr>
                <w:lang w:val="en-GB"/>
              </w:rPr>
              <w:t>0</w:t>
            </w:r>
            <w:r w:rsidRPr="00BA11D6">
              <w:t>,00</w:t>
            </w:r>
          </w:p>
        </w:tc>
        <w:tc>
          <w:tcPr>
            <w:tcW w:w="1701" w:type="dxa"/>
          </w:tcPr>
          <w:p w:rsidR="00CF0E5F" w:rsidRPr="00DE132B" w:rsidRDefault="00CF0E5F" w:rsidP="00CF0E5F">
            <w:pPr>
              <w:pStyle w:val="Obr-TabText1"/>
              <w:rPr>
                <w:rFonts w:eastAsiaTheme="majorEastAsia" w:cstheme="majorBidi"/>
                <w:bCs/>
                <w:lang w:val="en-GB"/>
              </w:rPr>
            </w:pPr>
            <w:r w:rsidRPr="00DE132B">
              <w:rPr>
                <w:rFonts w:eastAsiaTheme="majorEastAsia" w:cstheme="majorBidi"/>
                <w:bCs/>
                <w:lang w:val="en-GB"/>
              </w:rPr>
              <w:t>00.00</w:t>
            </w:r>
          </w:p>
        </w:tc>
        <w:tc>
          <w:tcPr>
            <w:tcW w:w="1701" w:type="dxa"/>
          </w:tcPr>
          <w:p w:rsidR="00CF0E5F" w:rsidRDefault="00CF0E5F" w:rsidP="00CF0E5F">
            <w:pPr>
              <w:pStyle w:val="Obr-TabText1"/>
            </w:pPr>
            <w:r>
              <w:rPr>
                <w:lang w:val="en-GB"/>
              </w:rPr>
              <w:t xml:space="preserve">792 </w:t>
            </w:r>
            <w:r>
              <w:t>.</w:t>
            </w:r>
            <w:r w:rsidRPr="00BA11D6">
              <w:t>000,00</w:t>
            </w:r>
          </w:p>
        </w:tc>
      </w:tr>
      <w:tr w:rsidR="00CF0E5F" w:rsidRPr="000A29F4" w:rsidTr="00CF0E5F">
        <w:trPr>
          <w:jc w:val="center"/>
        </w:trPr>
        <w:tc>
          <w:tcPr>
            <w:tcW w:w="2268" w:type="dxa"/>
          </w:tcPr>
          <w:p w:rsidR="00CF0E5F" w:rsidRDefault="00CF0E5F" w:rsidP="00BE1A23">
            <w:pPr>
              <w:pStyle w:val="Obr-TabNaslov2"/>
            </w:pPr>
            <w:r w:rsidRPr="00BA11D6">
              <w:t>Придонеси за социјално осигурување</w:t>
            </w:r>
          </w:p>
        </w:tc>
        <w:tc>
          <w:tcPr>
            <w:tcW w:w="1701" w:type="dxa"/>
          </w:tcPr>
          <w:p w:rsidR="00CF0E5F" w:rsidRDefault="00CF0E5F" w:rsidP="00BE1A23">
            <w:pPr>
              <w:pStyle w:val="Obr-TabText1"/>
              <w:rPr>
                <w:lang w:val="en-GB"/>
              </w:rPr>
            </w:pPr>
          </w:p>
          <w:p w:rsidR="00CF0E5F" w:rsidRPr="00CF0E5F" w:rsidRDefault="00CF0E5F" w:rsidP="00BE1A23">
            <w:pPr>
              <w:pStyle w:val="Obr-TabText1"/>
              <w:rPr>
                <w:lang w:val="en-GB"/>
              </w:rPr>
            </w:pPr>
            <w:r>
              <w:rPr>
                <w:lang w:val="en-GB"/>
              </w:rPr>
              <w:t>380 000,00</w:t>
            </w:r>
          </w:p>
        </w:tc>
        <w:tc>
          <w:tcPr>
            <w:tcW w:w="1701" w:type="dxa"/>
          </w:tcPr>
          <w:p w:rsidR="00CF0E5F" w:rsidRDefault="00CF0E5F" w:rsidP="00BE1A23">
            <w:pPr>
              <w:pStyle w:val="Obr-TabText1"/>
              <w:rPr>
                <w:rFonts w:eastAsiaTheme="majorEastAsia" w:cstheme="majorBidi"/>
                <w:bCs/>
                <w:lang w:val="en-GB"/>
              </w:rPr>
            </w:pPr>
          </w:p>
          <w:p w:rsidR="00CF0E5F" w:rsidRDefault="00CF0E5F" w:rsidP="00BE1A23">
            <w:pPr>
              <w:pStyle w:val="Obr-TabText1"/>
              <w:rPr>
                <w:rFonts w:eastAsiaTheme="majorEastAsia" w:cstheme="majorBidi"/>
                <w:bCs/>
                <w:sz w:val="24"/>
              </w:rPr>
            </w:pPr>
            <w:r w:rsidRPr="00DE132B">
              <w:rPr>
                <w:rFonts w:eastAsiaTheme="majorEastAsia" w:cstheme="majorBidi"/>
                <w:bCs/>
                <w:lang w:val="en-GB"/>
              </w:rPr>
              <w:t>00.00</w:t>
            </w:r>
          </w:p>
        </w:tc>
        <w:tc>
          <w:tcPr>
            <w:tcW w:w="1701" w:type="dxa"/>
          </w:tcPr>
          <w:p w:rsidR="00CF0E5F" w:rsidRDefault="00CF0E5F" w:rsidP="00BE1A23">
            <w:pPr>
              <w:pStyle w:val="Obr-TabText1"/>
              <w:rPr>
                <w:rFonts w:eastAsiaTheme="majorEastAsia" w:cstheme="majorBidi"/>
                <w:bCs/>
                <w:sz w:val="24"/>
              </w:rPr>
            </w:pPr>
          </w:p>
          <w:p w:rsidR="00CF0E5F" w:rsidRPr="004A0063" w:rsidRDefault="00CF0E5F" w:rsidP="00BE1A23">
            <w:pPr>
              <w:pStyle w:val="Obr-TabText1"/>
              <w:rPr>
                <w:lang w:val="en-GB"/>
              </w:rPr>
            </w:pPr>
            <w:r>
              <w:rPr>
                <w:lang w:val="en-GB"/>
              </w:rPr>
              <w:t>380 000,00</w:t>
            </w:r>
          </w:p>
        </w:tc>
      </w:tr>
      <w:tr w:rsidR="00CF0E5F" w:rsidRPr="000A29F4" w:rsidTr="00CF0E5F">
        <w:trPr>
          <w:jc w:val="center"/>
        </w:trPr>
        <w:tc>
          <w:tcPr>
            <w:tcW w:w="2268" w:type="dxa"/>
          </w:tcPr>
          <w:p w:rsidR="00CF0E5F" w:rsidRDefault="00CF0E5F" w:rsidP="00BE1A23">
            <w:pPr>
              <w:pStyle w:val="Obr-TabNaslov2"/>
            </w:pPr>
            <w:r w:rsidRPr="00BA11D6">
              <w:t>Патни и дневни расходи</w:t>
            </w:r>
          </w:p>
        </w:tc>
        <w:tc>
          <w:tcPr>
            <w:tcW w:w="1701" w:type="dxa"/>
          </w:tcPr>
          <w:p w:rsidR="00CF0E5F" w:rsidRDefault="00CF0E5F" w:rsidP="00BE1A23">
            <w:pPr>
              <w:pStyle w:val="Obr-TabText1"/>
            </w:pPr>
            <w:r>
              <w:rPr>
                <w:lang w:val="en-GB"/>
              </w:rPr>
              <w:t>60</w:t>
            </w:r>
            <w:r>
              <w:t>.</w:t>
            </w:r>
            <w:r w:rsidRPr="00BA11D6">
              <w:t>000,00</w:t>
            </w:r>
          </w:p>
        </w:tc>
        <w:tc>
          <w:tcPr>
            <w:tcW w:w="1701" w:type="dxa"/>
          </w:tcPr>
          <w:p w:rsidR="00CF0E5F" w:rsidRPr="004A0063" w:rsidRDefault="00CF0E5F" w:rsidP="00BE1A23">
            <w:pPr>
              <w:pStyle w:val="Obr-TabText1"/>
              <w:rPr>
                <w:rFonts w:eastAsiaTheme="majorEastAsia" w:cstheme="majorBidi"/>
                <w:bCs/>
                <w:lang w:val="en-GB"/>
              </w:rPr>
            </w:pPr>
            <w:r>
              <w:rPr>
                <w:rFonts w:eastAsiaTheme="majorEastAsia" w:cstheme="majorBidi"/>
                <w:bCs/>
                <w:lang w:val="en-GB"/>
              </w:rPr>
              <w:t>14</w:t>
            </w:r>
            <w:r w:rsidRPr="004A0063">
              <w:rPr>
                <w:rFonts w:eastAsiaTheme="majorEastAsia" w:cstheme="majorBidi"/>
                <w:bCs/>
                <w:lang w:val="en-GB"/>
              </w:rPr>
              <w:t xml:space="preserve">0.000.00 </w:t>
            </w:r>
          </w:p>
        </w:tc>
        <w:tc>
          <w:tcPr>
            <w:tcW w:w="1701" w:type="dxa"/>
          </w:tcPr>
          <w:p w:rsidR="00CF0E5F" w:rsidRDefault="00CF0E5F" w:rsidP="00BE1A23">
            <w:pPr>
              <w:pStyle w:val="Obr-TabText1"/>
            </w:pPr>
            <w:r>
              <w:rPr>
                <w:lang w:val="en-GB"/>
              </w:rPr>
              <w:t>200</w:t>
            </w:r>
            <w:r>
              <w:t>.</w:t>
            </w:r>
            <w:r w:rsidRPr="00BA11D6">
              <w:t>000,00</w:t>
            </w:r>
          </w:p>
        </w:tc>
      </w:tr>
      <w:tr w:rsidR="00CF0E5F" w:rsidRPr="000A29F4" w:rsidTr="00CF0E5F">
        <w:trPr>
          <w:jc w:val="center"/>
        </w:trPr>
        <w:tc>
          <w:tcPr>
            <w:tcW w:w="2268" w:type="dxa"/>
          </w:tcPr>
          <w:p w:rsidR="00CF0E5F" w:rsidRDefault="00CF0E5F" w:rsidP="00BE1A23">
            <w:pPr>
              <w:pStyle w:val="Obr-TabNaslov2"/>
            </w:pPr>
            <w:r w:rsidRPr="00BA11D6">
              <w:t>Комунални услуги, греење, комуникација и транспорт</w:t>
            </w:r>
          </w:p>
        </w:tc>
        <w:tc>
          <w:tcPr>
            <w:tcW w:w="1701" w:type="dxa"/>
          </w:tcPr>
          <w:p w:rsidR="00CF0E5F" w:rsidRDefault="00CF0E5F" w:rsidP="00BE1A23">
            <w:pPr>
              <w:pStyle w:val="Obr-TabText1"/>
              <w:rPr>
                <w:lang w:val="en-GB"/>
              </w:rPr>
            </w:pPr>
          </w:p>
          <w:p w:rsidR="00CF0E5F" w:rsidRDefault="00CF0E5F" w:rsidP="00BE1A23">
            <w:pPr>
              <w:pStyle w:val="Obr-TabText1"/>
            </w:pPr>
            <w:r>
              <w:rPr>
                <w:lang w:val="en-GB"/>
              </w:rPr>
              <w:t>175</w:t>
            </w:r>
            <w:r>
              <w:t>.</w:t>
            </w:r>
            <w:r w:rsidRPr="00BA11D6">
              <w:t>000,00</w:t>
            </w:r>
          </w:p>
        </w:tc>
        <w:tc>
          <w:tcPr>
            <w:tcW w:w="1701" w:type="dxa"/>
          </w:tcPr>
          <w:p w:rsidR="00CF0E5F" w:rsidRDefault="00CF0E5F" w:rsidP="00BE1A23">
            <w:pPr>
              <w:pStyle w:val="Obr-TabText1"/>
              <w:jc w:val="left"/>
              <w:rPr>
                <w:rFonts w:eastAsiaTheme="majorEastAsia" w:cstheme="majorBidi"/>
                <w:bCs/>
                <w:lang w:val="en-GB"/>
              </w:rPr>
            </w:pPr>
          </w:p>
          <w:p w:rsidR="00CF0E5F" w:rsidRPr="00DE132B" w:rsidRDefault="00CF0E5F" w:rsidP="00BE1A23">
            <w:pPr>
              <w:pStyle w:val="Obr-TabText1"/>
              <w:jc w:val="left"/>
              <w:rPr>
                <w:rFonts w:eastAsiaTheme="majorEastAsia" w:cstheme="majorBidi"/>
                <w:bCs/>
                <w:lang w:val="en-GB"/>
              </w:rPr>
            </w:pPr>
            <w:r>
              <w:rPr>
                <w:rFonts w:eastAsiaTheme="majorEastAsia" w:cstheme="majorBidi"/>
                <w:bCs/>
                <w:lang w:val="en-GB"/>
              </w:rPr>
              <w:t xml:space="preserve">        </w:t>
            </w:r>
            <w:r w:rsidRPr="00DE132B">
              <w:rPr>
                <w:rFonts w:eastAsiaTheme="majorEastAsia" w:cstheme="majorBidi"/>
                <w:bCs/>
                <w:lang w:val="en-GB"/>
              </w:rPr>
              <w:t>117</w:t>
            </w:r>
            <w:r>
              <w:rPr>
                <w:rFonts w:eastAsiaTheme="majorEastAsia" w:cstheme="majorBidi"/>
                <w:bCs/>
                <w:lang w:val="en-GB"/>
              </w:rPr>
              <w:t>.000,00</w:t>
            </w:r>
          </w:p>
        </w:tc>
        <w:tc>
          <w:tcPr>
            <w:tcW w:w="1701" w:type="dxa"/>
          </w:tcPr>
          <w:p w:rsidR="00CF0E5F" w:rsidRDefault="00CF0E5F" w:rsidP="00BE1A23">
            <w:pPr>
              <w:pStyle w:val="Obr-TabText1"/>
              <w:rPr>
                <w:rFonts w:eastAsiaTheme="majorEastAsia" w:cstheme="majorBidi"/>
                <w:bCs/>
                <w:sz w:val="24"/>
              </w:rPr>
            </w:pPr>
          </w:p>
          <w:p w:rsidR="00CF0E5F" w:rsidRDefault="00CF0E5F" w:rsidP="00BE1A23">
            <w:pPr>
              <w:pStyle w:val="Obr-TabText1"/>
            </w:pPr>
            <w:r>
              <w:rPr>
                <w:lang w:val="en-GB"/>
              </w:rPr>
              <w:t>292</w:t>
            </w:r>
            <w:r>
              <w:t>.</w:t>
            </w:r>
            <w:r w:rsidRPr="00BA11D6">
              <w:t>000,00</w:t>
            </w:r>
          </w:p>
        </w:tc>
      </w:tr>
      <w:tr w:rsidR="00CF0E5F" w:rsidRPr="000A29F4" w:rsidTr="00CF0E5F">
        <w:trPr>
          <w:jc w:val="center"/>
        </w:trPr>
        <w:tc>
          <w:tcPr>
            <w:tcW w:w="2268" w:type="dxa"/>
          </w:tcPr>
          <w:p w:rsidR="00CF0E5F" w:rsidRDefault="00CF0E5F" w:rsidP="00BE1A23">
            <w:pPr>
              <w:pStyle w:val="Obr-TabNaslov2"/>
            </w:pPr>
            <w:r w:rsidRPr="00BA11D6">
              <w:t>Материјали и ситен инвентар</w:t>
            </w:r>
          </w:p>
        </w:tc>
        <w:tc>
          <w:tcPr>
            <w:tcW w:w="1701" w:type="dxa"/>
          </w:tcPr>
          <w:p w:rsidR="00CF0E5F" w:rsidRDefault="00CF0E5F" w:rsidP="00BE1A23">
            <w:pPr>
              <w:pStyle w:val="Obr-TabText1"/>
            </w:pPr>
            <w:r>
              <w:rPr>
                <w:lang w:val="en-GB"/>
              </w:rPr>
              <w:t>30</w:t>
            </w:r>
            <w:r w:rsidRPr="00BA11D6">
              <w:t xml:space="preserve"> 000,00</w:t>
            </w:r>
          </w:p>
        </w:tc>
        <w:tc>
          <w:tcPr>
            <w:tcW w:w="1701" w:type="dxa"/>
          </w:tcPr>
          <w:p w:rsidR="00CF0E5F" w:rsidRPr="00DE132B" w:rsidRDefault="00CF0E5F" w:rsidP="00BE1A23">
            <w:pPr>
              <w:pStyle w:val="Obr-TabText1"/>
              <w:rPr>
                <w:rFonts w:eastAsiaTheme="majorEastAsia" w:cstheme="majorBidi"/>
                <w:bCs/>
                <w:lang w:val="en-GB"/>
              </w:rPr>
            </w:pPr>
            <w:r>
              <w:rPr>
                <w:rFonts w:eastAsiaTheme="majorEastAsia" w:cstheme="majorBidi"/>
                <w:bCs/>
                <w:lang w:val="en-GB"/>
              </w:rPr>
              <w:t>7</w:t>
            </w:r>
            <w:r w:rsidRPr="00DE132B">
              <w:rPr>
                <w:rFonts w:eastAsiaTheme="majorEastAsia" w:cstheme="majorBidi"/>
                <w:bCs/>
                <w:lang w:val="en-GB"/>
              </w:rPr>
              <w:t>0</w:t>
            </w:r>
            <w:r>
              <w:rPr>
                <w:rFonts w:eastAsiaTheme="majorEastAsia" w:cstheme="majorBidi"/>
                <w:bCs/>
                <w:lang w:val="en-GB"/>
              </w:rPr>
              <w:t>.</w:t>
            </w:r>
            <w:r w:rsidRPr="00DE132B">
              <w:rPr>
                <w:rFonts w:eastAsiaTheme="majorEastAsia" w:cstheme="majorBidi"/>
                <w:bCs/>
                <w:lang w:val="en-GB"/>
              </w:rPr>
              <w:t>000,00</w:t>
            </w:r>
          </w:p>
        </w:tc>
        <w:tc>
          <w:tcPr>
            <w:tcW w:w="1701" w:type="dxa"/>
          </w:tcPr>
          <w:p w:rsidR="00CF0E5F" w:rsidRDefault="00CF0E5F" w:rsidP="00BE1A23">
            <w:pPr>
              <w:pStyle w:val="Obr-TabText1"/>
            </w:pPr>
            <w:r>
              <w:rPr>
                <w:lang w:val="en-GB"/>
              </w:rPr>
              <w:t>100.</w:t>
            </w:r>
            <w:r>
              <w:t>.</w:t>
            </w:r>
            <w:r w:rsidRPr="00BA11D6">
              <w:t>000,00</w:t>
            </w:r>
          </w:p>
        </w:tc>
      </w:tr>
      <w:tr w:rsidR="00CF0E5F" w:rsidRPr="00BA11D6" w:rsidTr="00CF0E5F">
        <w:trPr>
          <w:jc w:val="center"/>
        </w:trPr>
        <w:tc>
          <w:tcPr>
            <w:tcW w:w="2268" w:type="dxa"/>
          </w:tcPr>
          <w:p w:rsidR="00CF0E5F" w:rsidRPr="00BA11D6" w:rsidRDefault="00CF0E5F" w:rsidP="00BE1A23">
            <w:pPr>
              <w:pStyle w:val="Obr-TabNaslov2"/>
            </w:pPr>
            <w:r>
              <w:t>ВКУПНО</w:t>
            </w:r>
          </w:p>
        </w:tc>
        <w:tc>
          <w:tcPr>
            <w:tcW w:w="1701" w:type="dxa"/>
          </w:tcPr>
          <w:p w:rsidR="00CF0E5F" w:rsidRPr="00CF0E5F" w:rsidRDefault="00CF0E5F" w:rsidP="00BE1A23">
            <w:pPr>
              <w:pStyle w:val="Obr-TabText1"/>
              <w:rPr>
                <w:lang w:val="en-GB"/>
              </w:rPr>
            </w:pPr>
            <w:r>
              <w:rPr>
                <w:lang w:val="en-GB"/>
              </w:rPr>
              <w:t>1.437.000.00</w:t>
            </w:r>
          </w:p>
        </w:tc>
        <w:tc>
          <w:tcPr>
            <w:tcW w:w="1701" w:type="dxa"/>
          </w:tcPr>
          <w:p w:rsidR="00CF0E5F" w:rsidRPr="00CF0E5F" w:rsidRDefault="00CF0E5F" w:rsidP="00BE1A23">
            <w:pPr>
              <w:pStyle w:val="Obr-TabText1"/>
              <w:rPr>
                <w:lang w:val="en-GB"/>
              </w:rPr>
            </w:pPr>
            <w:r>
              <w:rPr>
                <w:lang w:val="en-GB"/>
              </w:rPr>
              <w:t>327.000.00</w:t>
            </w:r>
          </w:p>
        </w:tc>
        <w:tc>
          <w:tcPr>
            <w:tcW w:w="1701" w:type="dxa"/>
          </w:tcPr>
          <w:p w:rsidR="00CF0E5F" w:rsidRPr="00A16F3C" w:rsidRDefault="00CF0E5F" w:rsidP="00BE1A23">
            <w:pPr>
              <w:pStyle w:val="Obr-TabText1"/>
            </w:pPr>
            <w:r>
              <w:rPr>
                <w:lang w:val="en-GB"/>
              </w:rPr>
              <w:t>1.472.000.00</w:t>
            </w:r>
          </w:p>
        </w:tc>
      </w:tr>
    </w:tbl>
    <w:p w:rsidR="00052CD1" w:rsidRDefault="00052CD1" w:rsidP="00330705">
      <w:pPr>
        <w:pStyle w:val="Obr-Naslov1"/>
      </w:pPr>
    </w:p>
    <w:p w:rsidR="00531C7C" w:rsidRPr="000E2C48" w:rsidRDefault="00D730A7" w:rsidP="00AD1C1F">
      <w:pPr>
        <w:pStyle w:val="Obr-Naslov1"/>
        <w:rPr>
          <w:rFonts w:ascii="StobiSans Regular" w:hAnsi="StobiSans Regular"/>
        </w:rPr>
      </w:pPr>
      <w:r w:rsidRPr="000E2C48">
        <w:rPr>
          <w:rFonts w:ascii="StobiSans Regular" w:hAnsi="StobiSans Regular"/>
        </w:rPr>
        <w:t>Меѓународна соработка</w:t>
      </w:r>
    </w:p>
    <w:p w:rsidR="00FC4962" w:rsidRDefault="00FC4962" w:rsidP="00AD1C1F">
      <w:pPr>
        <w:pStyle w:val="Obr-Tekst1"/>
        <w:jc w:val="left"/>
        <w:rPr>
          <w:lang w:val="en-GB"/>
        </w:rPr>
      </w:pPr>
      <w:r>
        <w:t xml:space="preserve">  Р</w:t>
      </w:r>
      <w:r w:rsidR="00AD1C1F">
        <w:t xml:space="preserve">епублика </w:t>
      </w:r>
      <w:r>
        <w:t>С</w:t>
      </w:r>
      <w:r w:rsidR="00AD1C1F">
        <w:t xml:space="preserve">еверна </w:t>
      </w:r>
      <w:r>
        <w:t>М</w:t>
      </w:r>
      <w:r w:rsidR="00AD1C1F">
        <w:t xml:space="preserve">акедонија </w:t>
      </w:r>
      <w:r>
        <w:t>како кандидат за членство во ЕУ, во текот на п</w:t>
      </w:r>
      <w:r w:rsidR="00AD1C1F">
        <w:t xml:space="preserve">реговорите </w:t>
      </w:r>
      <w:r>
        <w:t xml:space="preserve"> ќе мора да го усогласи законодавството и регулативата со Европските Директиви како и меѓународните ста</w:t>
      </w:r>
      <w:r w:rsidR="003E1AAC">
        <w:t>ндарди и препораки од страна на</w:t>
      </w:r>
      <w:r w:rsidR="00773E2E">
        <w:t xml:space="preserve"> </w:t>
      </w:r>
      <w:r w:rsidR="003E1AAC">
        <w:t xml:space="preserve">МААЕ и </w:t>
      </w:r>
      <w:r>
        <w:t>ЕУ.</w:t>
      </w:r>
      <w:r w:rsidR="003E1AAC">
        <w:t xml:space="preserve"> </w:t>
      </w:r>
      <w:r>
        <w:t>Меѓународната соработка на Одделението за инспекциски надзор и во</w:t>
      </w:r>
      <w:r w:rsidR="00773E2E">
        <w:t xml:space="preserve"> </w:t>
      </w:r>
      <w:r>
        <w:t>2021 година планирано е да продолжи со ист интензитет како и претходните години. Инспекторите за радијациона сигурност се активни учесници во проектите на Меѓународнат</w:t>
      </w:r>
      <w:r w:rsidR="00773E2E">
        <w:t>а Агенција за Атомска Енергија</w:t>
      </w:r>
      <w:r w:rsidR="00AD1C1F">
        <w:t xml:space="preserve"> </w:t>
      </w:r>
      <w:r w:rsidR="00773E2E">
        <w:t>(</w:t>
      </w:r>
      <w:r>
        <w:t xml:space="preserve">МААЕ) кои се однесуваат на </w:t>
      </w:r>
    </w:p>
    <w:p w:rsidR="007B56FB" w:rsidRDefault="007B56FB" w:rsidP="00AD1C1F">
      <w:pPr>
        <w:pStyle w:val="Obr-Tekst1"/>
        <w:numPr>
          <w:ilvl w:val="0"/>
          <w:numId w:val="18"/>
        </w:numPr>
        <w:jc w:val="left"/>
        <w:rPr>
          <w:lang w:val="en-GB"/>
        </w:rPr>
      </w:pPr>
      <w:r>
        <w:rPr>
          <w:lang w:val="en-GB"/>
        </w:rPr>
        <w:t>INT 9182</w:t>
      </w:r>
      <w:r>
        <w:t xml:space="preserve"> – управување со радиоактивни извори од создавањето до нивното складирање</w:t>
      </w:r>
    </w:p>
    <w:p w:rsidR="007B56FB" w:rsidRDefault="007B56FB" w:rsidP="00AD1C1F">
      <w:pPr>
        <w:pStyle w:val="Obr-Tekst1"/>
        <w:numPr>
          <w:ilvl w:val="0"/>
          <w:numId w:val="18"/>
        </w:numPr>
        <w:jc w:val="left"/>
        <w:rPr>
          <w:lang w:val="en-GB"/>
        </w:rPr>
      </w:pPr>
      <w:r>
        <w:rPr>
          <w:lang w:val="en-GB"/>
        </w:rPr>
        <w:t>RER 9143 –</w:t>
      </w:r>
      <w:r>
        <w:t>јакнење на менаџментот/управувањето со радиоактивен отпад</w:t>
      </w:r>
    </w:p>
    <w:p w:rsidR="007B56FB" w:rsidRDefault="007B56FB" w:rsidP="00AD1C1F">
      <w:pPr>
        <w:pStyle w:val="Obr-Tekst1"/>
        <w:numPr>
          <w:ilvl w:val="0"/>
          <w:numId w:val="18"/>
        </w:numPr>
        <w:jc w:val="left"/>
        <w:rPr>
          <w:lang w:val="en-GB"/>
        </w:rPr>
      </w:pPr>
      <w:r>
        <w:rPr>
          <w:lang w:val="en-GB"/>
        </w:rPr>
        <w:t>RER 9152</w:t>
      </w:r>
      <w:r>
        <w:t xml:space="preserve"> – јакнење на инспекциските к</w:t>
      </w:r>
      <w:r>
        <w:rPr>
          <w:lang w:val="en-GB"/>
        </w:rPr>
        <w:t>a</w:t>
      </w:r>
      <w:r>
        <w:t>пацитети и можности,</w:t>
      </w:r>
    </w:p>
    <w:p w:rsidR="007B56FB" w:rsidRPr="007B56FB" w:rsidRDefault="00773E2E" w:rsidP="00AD1C1F">
      <w:pPr>
        <w:pStyle w:val="Obr-Tekst1"/>
        <w:numPr>
          <w:ilvl w:val="0"/>
          <w:numId w:val="18"/>
        </w:numPr>
        <w:jc w:val="left"/>
        <w:rPr>
          <w:lang w:val="en-GB"/>
        </w:rPr>
      </w:pPr>
      <w:r>
        <w:rPr>
          <w:lang w:val="en-GB"/>
        </w:rPr>
        <w:t>RER</w:t>
      </w:r>
      <w:r>
        <w:t xml:space="preserve"> </w:t>
      </w:r>
      <w:r w:rsidR="007B56FB">
        <w:rPr>
          <w:lang w:val="en-GB"/>
        </w:rPr>
        <w:t>9147</w:t>
      </w:r>
      <w:r w:rsidR="007B56FB">
        <w:t xml:space="preserve"> – Подобрување на радијациона</w:t>
      </w:r>
      <w:r w:rsidR="003E1AAC">
        <w:t xml:space="preserve"> </w:t>
      </w:r>
      <w:r w:rsidR="007B56FB">
        <w:t xml:space="preserve">заштита во радиодијагностиката и нуклеарната медицина, </w:t>
      </w:r>
    </w:p>
    <w:p w:rsidR="00F33D87" w:rsidRDefault="00773E2E" w:rsidP="00AD1C1F">
      <w:pPr>
        <w:pStyle w:val="Obr-Tekst1"/>
        <w:numPr>
          <w:ilvl w:val="0"/>
          <w:numId w:val="18"/>
        </w:numPr>
        <w:jc w:val="left"/>
      </w:pPr>
      <w:r>
        <w:rPr>
          <w:lang w:val="en-GB"/>
        </w:rPr>
        <w:t>RER 9184</w:t>
      </w:r>
      <w:r w:rsidR="00621E6F" w:rsidRPr="00621E6F">
        <w:rPr>
          <w:lang w:val="en-GB"/>
        </w:rPr>
        <w:t>/</w:t>
      </w:r>
      <w:r w:rsidR="00C300C6" w:rsidRPr="00621E6F">
        <w:rPr>
          <w:lang w:val="en-GB"/>
        </w:rPr>
        <w:t>MED</w:t>
      </w:r>
      <w:r>
        <w:t>-</w:t>
      </w:r>
      <w:r w:rsidR="00C300C6" w:rsidRPr="00621E6F">
        <w:rPr>
          <w:lang w:val="en-GB"/>
        </w:rPr>
        <w:t xml:space="preserve">NET – </w:t>
      </w:r>
      <w:r w:rsidR="00C300C6">
        <w:t>јакнење на безбедноста при транспорт на радиоактивен материјал за медитеранските земји,</w:t>
      </w:r>
    </w:p>
    <w:p w:rsidR="00F33D87" w:rsidRDefault="00621E6F" w:rsidP="00AD1C1F">
      <w:pPr>
        <w:pStyle w:val="Obr-Tekst1"/>
        <w:numPr>
          <w:ilvl w:val="0"/>
          <w:numId w:val="18"/>
        </w:numPr>
        <w:jc w:val="left"/>
      </w:pPr>
      <w:r>
        <w:rPr>
          <w:lang w:val="en-GB"/>
        </w:rPr>
        <w:lastRenderedPageBreak/>
        <w:t xml:space="preserve">RER </w:t>
      </w:r>
      <w:r w:rsidR="003E1AAC">
        <w:rPr>
          <w:lang w:val="en-GB"/>
        </w:rPr>
        <w:t>7014</w:t>
      </w:r>
      <w:r w:rsidR="003E1AAC">
        <w:t>- Регулаторна рамка за</w:t>
      </w:r>
      <w:r w:rsidR="00F33D87">
        <w:t xml:space="preserve"> мониторингот на животната средина и проценка на радијационата заштита.</w:t>
      </w:r>
    </w:p>
    <w:p w:rsidR="00D95339" w:rsidRDefault="00D95339" w:rsidP="00AD1C1F">
      <w:pPr>
        <w:pStyle w:val="Obr-Tekst1"/>
        <w:jc w:val="left"/>
      </w:pPr>
      <w:r>
        <w:t xml:space="preserve">Во 2021 година </w:t>
      </w:r>
      <w:r w:rsidR="006469E3">
        <w:t>планирано е преку проекти од ЕУ</w:t>
      </w:r>
      <w:r w:rsidR="006469E3">
        <w:rPr>
          <w:lang w:val="en-GB"/>
        </w:rPr>
        <w:t xml:space="preserve"> </w:t>
      </w:r>
      <w:r>
        <w:t>продолжување на  соработката  со Кралството на Репуб</w:t>
      </w:r>
      <w:r w:rsidR="00AD1C1F">
        <w:t>лика Белгија преку Институт за Р</w:t>
      </w:r>
      <w:r>
        <w:t xml:space="preserve">адиоизотопи </w:t>
      </w:r>
      <w:r w:rsidR="00AD1C1F">
        <w:t xml:space="preserve">- </w:t>
      </w:r>
      <w:r>
        <w:t>Флеурус,</w:t>
      </w:r>
      <w:r w:rsidR="00AD1C1F">
        <w:t xml:space="preserve"> </w:t>
      </w:r>
      <w:r>
        <w:t xml:space="preserve">преку проектот </w:t>
      </w:r>
      <w:r w:rsidR="00AD1C1F">
        <w:t xml:space="preserve">за </w:t>
      </w:r>
      <w:r>
        <w:t>Извоз и безбедност на граничните премини да се продолжи соработката со Американската Амбасада во Република Северна Македонија,</w:t>
      </w:r>
      <w:r w:rsidR="006469E3">
        <w:t xml:space="preserve"> преку </w:t>
      </w:r>
      <w:r>
        <w:t xml:space="preserve"> потпишаните Меморандуми на соработка со државите од соседството и регионот зголемување на интензитетот на соработка помеѓу  Регулаторните тела, раз</w:t>
      </w:r>
      <w:r w:rsidR="00AD1C1F">
        <w:t>мена на информации и размена</w:t>
      </w:r>
      <w:r>
        <w:t xml:space="preserve"> на искуства во областа на радијационата заштита и сигурност. </w:t>
      </w:r>
    </w:p>
    <w:p w:rsidR="00E22798" w:rsidRDefault="009E7AB8" w:rsidP="00AD1C1F">
      <w:pPr>
        <w:pStyle w:val="Obr-Tekst1"/>
        <w:jc w:val="left"/>
      </w:pPr>
      <w:r>
        <w:t>Меѓународната соработка  се</w:t>
      </w:r>
      <w:r w:rsidR="00E22798" w:rsidRPr="00E22798">
        <w:t xml:space="preserve"> </w:t>
      </w:r>
      <w:r w:rsidR="00E22798">
        <w:t>се спроведува со учество и одржување на експер</w:t>
      </w:r>
      <w:r w:rsidR="006469E3">
        <w:t>т</w:t>
      </w:r>
      <w:r w:rsidR="00E22798">
        <w:t xml:space="preserve">ски мисии организирани од страна на МААЕ и ЕУ во нашата земја каде еминентни експерти го спроведуваат своето </w:t>
      </w:r>
      <w:r w:rsidR="006469E3">
        <w:t>знаење и пренесување на искуства</w:t>
      </w:r>
      <w:r w:rsidR="00E22798">
        <w:t xml:space="preserve"> во областа на радијационата сигурност и безбедност,</w:t>
      </w:r>
      <w:r w:rsidR="00E22798">
        <w:rPr>
          <w:lang w:val="en-GB"/>
        </w:rPr>
        <w:t xml:space="preserve"> </w:t>
      </w:r>
      <w:r w:rsidR="00E22798">
        <w:t>најмногу</w:t>
      </w:r>
      <w:r w:rsidR="00E22798">
        <w:rPr>
          <w:lang w:val="en-GB"/>
        </w:rPr>
        <w:t xml:space="preserve"> </w:t>
      </w:r>
      <w:r w:rsidR="00E22798">
        <w:t>преку учество во работилници на регионално и национално ниво на кои се врши размена на искуства и на</w:t>
      </w:r>
      <w:r w:rsidR="006469E3">
        <w:t>ј</w:t>
      </w:r>
      <w:r w:rsidR="00E22798">
        <w:t>добрите пракси, усогласување на регулативата  од областа на радијациона сигурност и нуклеарна безбедност  со најновите  меѓународни и европски прописи, директиви  и конвенции.</w:t>
      </w:r>
    </w:p>
    <w:p w:rsidR="00E22798" w:rsidRPr="00145587" w:rsidRDefault="00E22798" w:rsidP="00AD1C1F">
      <w:pPr>
        <w:pStyle w:val="Obr-Naslov1"/>
        <w:ind w:left="0" w:firstLine="567"/>
        <w:jc w:val="both"/>
        <w:rPr>
          <w:rFonts w:ascii="StobiSans Regular" w:hAnsi="StobiSans Regular"/>
          <w:sz w:val="22"/>
        </w:rPr>
      </w:pPr>
      <w:r w:rsidRPr="00145587">
        <w:rPr>
          <w:rFonts w:ascii="StobiSans Regular" w:hAnsi="StobiSans Regular"/>
          <w:sz w:val="22"/>
        </w:rPr>
        <w:t>Најинтензивна е  сорбатката  МААЕ, каде како земја членка на организацијата имаме голема помош како на експертско ниво,</w:t>
      </w:r>
      <w:r w:rsidR="006469E3">
        <w:rPr>
          <w:rFonts w:ascii="StobiSans Regular" w:hAnsi="StobiSans Regular"/>
          <w:sz w:val="22"/>
        </w:rPr>
        <w:t xml:space="preserve"> </w:t>
      </w:r>
      <w:r w:rsidRPr="00145587">
        <w:rPr>
          <w:rFonts w:ascii="StobiSans Regular" w:hAnsi="StobiSans Regular"/>
          <w:sz w:val="22"/>
        </w:rPr>
        <w:t>едукација и образование,  бројни донации во областа на науката, медицината, безбедноста и сигурноста, каде  со донации на</w:t>
      </w:r>
      <w:r w:rsidR="006469E3">
        <w:rPr>
          <w:rFonts w:ascii="StobiSans Regular" w:hAnsi="StobiSans Regular"/>
          <w:sz w:val="22"/>
        </w:rPr>
        <w:t xml:space="preserve"> </w:t>
      </w:r>
      <w:r w:rsidRPr="00145587">
        <w:rPr>
          <w:rFonts w:ascii="StobiSans Regular" w:hAnsi="StobiSans Regular"/>
          <w:sz w:val="22"/>
        </w:rPr>
        <w:t>медицинска опрема се следат последните трендови на третитрање на пациенти како и   зголемување на радијационата сигурност и безбедност на населението и животната средина.</w:t>
      </w:r>
    </w:p>
    <w:p w:rsidR="009E7AB8" w:rsidRDefault="006469E3" w:rsidP="009E7AB8">
      <w:pPr>
        <w:pStyle w:val="Obr-Tekst1"/>
      </w:pPr>
      <w:r>
        <w:t>Најинтензивна сорбатка е со</w:t>
      </w:r>
      <w:r w:rsidR="008F79BF">
        <w:t xml:space="preserve"> </w:t>
      </w:r>
      <w:r w:rsidR="009E7AB8">
        <w:t>МА</w:t>
      </w:r>
      <w:r w:rsidR="009B7F15">
        <w:t>АЕ, каде како земја членка инспекторите имаат</w:t>
      </w:r>
      <w:r w:rsidR="009E7AB8">
        <w:t xml:space="preserve"> можност за  учество во бројните тренинг курсеви, работилници, конференции  и на тој начин мож</w:t>
      </w:r>
      <w:r w:rsidR="009B7F15">
        <w:t>ност да ги следиат</w:t>
      </w:r>
      <w:r w:rsidR="009E7AB8">
        <w:t xml:space="preserve"> најновите достигнувања и сознанија од областа на </w:t>
      </w:r>
      <w:r w:rsidR="00023E0F">
        <w:t>радијационата безбедност и нуклеарна сигурност.</w:t>
      </w:r>
    </w:p>
    <w:p w:rsidR="00246402" w:rsidRPr="008F674B" w:rsidRDefault="009E7AB8" w:rsidP="008F79BF">
      <w:pPr>
        <w:pStyle w:val="Obr-Tekst1"/>
      </w:pPr>
      <w:r>
        <w:t>Преку проектите на МААЕ се интензивира и соработката со  европските здруженија</w:t>
      </w:r>
    </w:p>
    <w:p w:rsidR="00531C7C" w:rsidRPr="000E2C48" w:rsidRDefault="00D730A7" w:rsidP="00330705">
      <w:pPr>
        <w:pStyle w:val="Obr-Naslov1"/>
        <w:rPr>
          <w:rFonts w:ascii="StobiSans Regular" w:hAnsi="StobiSans Regular"/>
        </w:rPr>
      </w:pPr>
      <w:r w:rsidRPr="000E2C48">
        <w:rPr>
          <w:rFonts w:ascii="StobiSans Regular" w:hAnsi="StobiSans Regular"/>
        </w:rPr>
        <w:t xml:space="preserve">Други </w:t>
      </w:r>
      <w:r w:rsidR="00531C7C" w:rsidRPr="000E2C48">
        <w:rPr>
          <w:rFonts w:ascii="StobiSans Regular" w:hAnsi="StobiSans Regular"/>
        </w:rPr>
        <w:t>активности на инспекциската служба</w:t>
      </w:r>
    </w:p>
    <w:p w:rsidR="00E22798" w:rsidRDefault="00E22798" w:rsidP="00E22798">
      <w:pPr>
        <w:pStyle w:val="Obr-Tekst1"/>
      </w:pPr>
      <w:r>
        <w:t>Инспекторите за радијациона сигурност покрј вршењето на инспекциски надзори со цел контрола над спроведувањето на прописите од Законот за заштита од јонизирачко зрачење и радијациона сигурност и важечката подзаконска регулатива активно учествуваат во повеќе</w:t>
      </w:r>
      <w:r>
        <w:rPr>
          <w:lang w:val="en-US"/>
        </w:rPr>
        <w:t xml:space="preserve"> Me</w:t>
      </w:r>
      <w:r>
        <w:t>ѓународни комисии, членови и контакт точки на многу конвенции и договори кои Република Северна Македонија ги има потпишано со Меѓународната агенција за атомска енергија, Европската Унија и други меѓународни организации, контакт точки за меѓ</w:t>
      </w:r>
      <w:r w:rsidR="00EE29FF">
        <w:t>ународни проекти водени од Меѓу</w:t>
      </w:r>
      <w:r>
        <w:t xml:space="preserve">народната агенција за атомска енергија како и проекти </w:t>
      </w:r>
      <w:r w:rsidR="00EE29FF">
        <w:t xml:space="preserve">водени од ЕУкако и Национални </w:t>
      </w:r>
      <w:r>
        <w:t>комисии како и меѓуресорски работни групи.</w:t>
      </w:r>
    </w:p>
    <w:p w:rsidR="00E22798" w:rsidRDefault="00E22798" w:rsidP="00E22798">
      <w:pPr>
        <w:pStyle w:val="Obr-Tekst1"/>
      </w:pPr>
      <w:r>
        <w:t>Контакт лице  на РСМ за Здружената конвенција за безбедно управување со потрошено нуклеарно гориво и радиоактивен отпад</w:t>
      </w:r>
    </w:p>
    <w:p w:rsidR="00E22798" w:rsidRDefault="00E22798" w:rsidP="00E22798">
      <w:pPr>
        <w:pStyle w:val="Obr-Tekst1"/>
      </w:pPr>
      <w:r>
        <w:lastRenderedPageBreak/>
        <w:t>Контакт лице на РСМ за Конвенцијата за физичка заштита на на нуклеарен материјал</w:t>
      </w:r>
    </w:p>
    <w:p w:rsidR="00E22798" w:rsidRDefault="00E22798" w:rsidP="00E22798">
      <w:pPr>
        <w:pStyle w:val="Obr-Tekst1"/>
      </w:pPr>
      <w:r>
        <w:t>Контакт лице на РСМ за мрежата за размена на информации за недозволена трговија со радиоактивен и нуклеарен материјал</w:t>
      </w:r>
    </w:p>
    <w:p w:rsidR="00E22798" w:rsidRDefault="00E22798" w:rsidP="00E22798">
      <w:pPr>
        <w:pStyle w:val="Obr-Tekst1"/>
      </w:pPr>
      <w:r>
        <w:t>Контакт лице  на РСМ за Кодексот на однесување со радиоактивен и нуклеарен материјал</w:t>
      </w:r>
    </w:p>
    <w:p w:rsidR="00E22798" w:rsidRDefault="00E22798" w:rsidP="00E22798">
      <w:pPr>
        <w:pStyle w:val="Obr-Tekst1"/>
      </w:pPr>
      <w:r>
        <w:t>Контакт лице на РСМ за Интерпол Европа со седиште во Лион</w:t>
      </w:r>
    </w:p>
    <w:p w:rsidR="00E22798" w:rsidRDefault="00EE29FF" w:rsidP="00E22798">
      <w:pPr>
        <w:pStyle w:val="Obr-Tekst1"/>
        <w:rPr>
          <w:lang w:val="en-US"/>
        </w:rPr>
      </w:pPr>
      <w:r>
        <w:t xml:space="preserve">Носител на Регионален </w:t>
      </w:r>
      <w:r w:rsidR="00E22798">
        <w:t>пр</w:t>
      </w:r>
      <w:r>
        <w:t>оект за</w:t>
      </w:r>
      <w:r w:rsidR="00384C44">
        <w:t xml:space="preserve"> </w:t>
      </w:r>
      <w:r>
        <w:t>ј</w:t>
      </w:r>
      <w:r w:rsidR="00E22798">
        <w:t xml:space="preserve">акнење на капацитетите за управување со радиоактивен отпад и искористени затворени радиоактивни извори </w:t>
      </w:r>
      <w:r w:rsidR="00E22798">
        <w:rPr>
          <w:lang w:val="en-US"/>
        </w:rPr>
        <w:t>RER 9154</w:t>
      </w:r>
    </w:p>
    <w:p w:rsidR="00E22798" w:rsidRDefault="00EE29FF" w:rsidP="00E22798">
      <w:pPr>
        <w:pStyle w:val="Obr-Tekst1"/>
      </w:pPr>
      <w:r>
        <w:t>Носител на</w:t>
      </w:r>
      <w:r w:rsidR="00E22798">
        <w:t xml:space="preserve"> Интернационален проект за контрола на радиоактивни  извори од нивно производство до нивно складирање.</w:t>
      </w:r>
      <w:r>
        <w:t xml:space="preserve"> </w:t>
      </w:r>
      <w:r w:rsidR="00E22798">
        <w:rPr>
          <w:lang w:val="en-US"/>
        </w:rPr>
        <w:t>INT 9186</w:t>
      </w:r>
    </w:p>
    <w:p w:rsidR="00E22798" w:rsidRPr="00C4741E" w:rsidRDefault="00E22798" w:rsidP="00367086">
      <w:pPr>
        <w:pStyle w:val="Obr-Tekst1"/>
        <w:jc w:val="left"/>
      </w:pPr>
      <w:r>
        <w:t>Во рамките на На</w:t>
      </w:r>
      <w:r w:rsidR="00384C44">
        <w:t>ционалната комисија за хемиска б</w:t>
      </w:r>
      <w:r>
        <w:t xml:space="preserve">иолошка и радиолошка нуклеарна безбедност , носител на проект </w:t>
      </w:r>
      <w:r>
        <w:rPr>
          <w:lang w:val="en-US"/>
        </w:rPr>
        <w:t xml:space="preserve">P67 </w:t>
      </w:r>
      <w:r>
        <w:t>за управување на радиоктивен отпад.</w:t>
      </w:r>
    </w:p>
    <w:p w:rsidR="00E22798" w:rsidRDefault="00E22798" w:rsidP="00367086">
      <w:pPr>
        <w:pStyle w:val="Obr-Tekst1"/>
        <w:numPr>
          <w:ilvl w:val="0"/>
          <w:numId w:val="19"/>
        </w:numPr>
        <w:jc w:val="left"/>
      </w:pPr>
      <w:r>
        <w:t xml:space="preserve">Националната комисија за Хемиска Биолошка и Радиолошка Нуклеарна безбедност, </w:t>
      </w:r>
    </w:p>
    <w:p w:rsidR="00E22798" w:rsidRDefault="00E22798" w:rsidP="00367086">
      <w:pPr>
        <w:pStyle w:val="Obr-Tekst1"/>
        <w:numPr>
          <w:ilvl w:val="0"/>
          <w:numId w:val="19"/>
        </w:numPr>
        <w:jc w:val="left"/>
      </w:pPr>
      <w:r>
        <w:t>Во рамките на проект што го води Центарот за управување со кризи уче</w:t>
      </w:r>
      <w:r w:rsidR="00384C44">
        <w:t>сник во носечката група за НИКС</w:t>
      </w:r>
      <w:r>
        <w:t>–</w:t>
      </w:r>
      <w:r w:rsidR="00384C44">
        <w:t xml:space="preserve"> национален</w:t>
      </w:r>
      <w:r w:rsidR="008F79BF">
        <w:t xml:space="preserve"> инцидентен </w:t>
      </w:r>
      <w:r>
        <w:t>команден</w:t>
      </w:r>
      <w:r w:rsidR="00384C44">
        <w:t xml:space="preserve"> </w:t>
      </w:r>
      <w:r>
        <w:t xml:space="preserve">систем за инциденти во рамките на НАТО проектот , </w:t>
      </w:r>
    </w:p>
    <w:p w:rsidR="00E22798" w:rsidRDefault="008F79BF" w:rsidP="00367086">
      <w:pPr>
        <w:pStyle w:val="Obr-Tekst1"/>
        <w:numPr>
          <w:ilvl w:val="0"/>
          <w:numId w:val="19"/>
        </w:numPr>
        <w:jc w:val="left"/>
      </w:pPr>
      <w:r>
        <w:t>Р</w:t>
      </w:r>
      <w:r w:rsidR="00E22798">
        <w:t>аботно тело за помош на комисијата за полагање на испит за инспектор,</w:t>
      </w:r>
    </w:p>
    <w:p w:rsidR="00E22798" w:rsidRDefault="008F79BF" w:rsidP="00367086">
      <w:pPr>
        <w:pStyle w:val="Obr-Tekst1"/>
        <w:numPr>
          <w:ilvl w:val="0"/>
          <w:numId w:val="19"/>
        </w:numPr>
        <w:jc w:val="left"/>
      </w:pPr>
      <w:r>
        <w:t>М</w:t>
      </w:r>
      <w:r w:rsidR="00E22798">
        <w:t xml:space="preserve">ултиресорска група за за воспоставување на склад за радиоактивен отпад во која покрај инспекторите учествуваат претставници на Институтот за јавно здравје. Министерство за здравство, Министерство за внатрешни работи, Министерство за одбрана, Министерство за животна средина. </w:t>
      </w:r>
    </w:p>
    <w:p w:rsidR="00E22798" w:rsidRDefault="00E22798" w:rsidP="00367086">
      <w:pPr>
        <w:pStyle w:val="Obr-Tekst1"/>
        <w:numPr>
          <w:ilvl w:val="0"/>
          <w:numId w:val="19"/>
        </w:numPr>
        <w:jc w:val="left"/>
      </w:pPr>
      <w:r>
        <w:t xml:space="preserve"> Член во Национална Комисија за справување со хибридни закани</w:t>
      </w:r>
    </w:p>
    <w:p w:rsidR="00E22798" w:rsidRDefault="00E22798" w:rsidP="00367086">
      <w:pPr>
        <w:pStyle w:val="Obr-Tekst1"/>
        <w:jc w:val="left"/>
      </w:pPr>
      <w:r>
        <w:t>Покрај учеството во меѓуресорските комисии и работни тела</w:t>
      </w:r>
      <w:r w:rsidR="00384C44">
        <w:t xml:space="preserve">, </w:t>
      </w:r>
      <w:r>
        <w:t xml:space="preserve">инспекторите учествуваат и во состав на комисии во рамките на Дирекцијата како </w:t>
      </w:r>
    </w:p>
    <w:p w:rsidR="00E22798" w:rsidRDefault="00E22798" w:rsidP="00367086">
      <w:pPr>
        <w:pStyle w:val="Obr-Tekst1"/>
        <w:numPr>
          <w:ilvl w:val="0"/>
          <w:numId w:val="19"/>
        </w:numPr>
        <w:jc w:val="left"/>
      </w:pPr>
      <w:r>
        <w:t>Комисија за попис,</w:t>
      </w:r>
    </w:p>
    <w:p w:rsidR="00E22798" w:rsidRDefault="00E22798" w:rsidP="00367086">
      <w:pPr>
        <w:pStyle w:val="Obr-Tekst1"/>
        <w:numPr>
          <w:ilvl w:val="0"/>
          <w:numId w:val="19"/>
        </w:numPr>
        <w:jc w:val="left"/>
      </w:pPr>
      <w:r>
        <w:t>Тендерска комисија за јавни набавки за потребите на ДРС,</w:t>
      </w:r>
    </w:p>
    <w:p w:rsidR="00E22798" w:rsidRDefault="00E22798" w:rsidP="00367086">
      <w:pPr>
        <w:pStyle w:val="Obr-Tekst1"/>
        <w:numPr>
          <w:ilvl w:val="0"/>
          <w:numId w:val="19"/>
        </w:numPr>
        <w:jc w:val="left"/>
      </w:pPr>
      <w:r>
        <w:t xml:space="preserve">Комисија за уништување на архивски материјал со поминат временски рок за чување, </w:t>
      </w:r>
    </w:p>
    <w:p w:rsidR="00E22798" w:rsidRPr="001E6130" w:rsidRDefault="00E22798" w:rsidP="00367086">
      <w:pPr>
        <w:pStyle w:val="Obr-Tekst1"/>
        <w:numPr>
          <w:ilvl w:val="0"/>
          <w:numId w:val="19"/>
        </w:numPr>
        <w:jc w:val="left"/>
      </w:pPr>
      <w:r>
        <w:t xml:space="preserve">Инспекторите се активно вклучени во сите активности кои произлегуваат од согласно Правилникот на работни места во Дирекцијата и </w:t>
      </w:r>
      <w:r w:rsidR="00AA3414">
        <w:t>Правилникот за Систематизација.</w:t>
      </w:r>
    </w:p>
    <w:p w:rsidR="00C3119C" w:rsidRPr="001E6130" w:rsidRDefault="00EE29FF" w:rsidP="00367086">
      <w:pPr>
        <w:pStyle w:val="Obr-Tekst1"/>
        <w:jc w:val="left"/>
      </w:pPr>
      <w:r>
        <w:t>:</w:t>
      </w:r>
    </w:p>
    <w:p w:rsidR="001A7792" w:rsidRDefault="001A7792" w:rsidP="00367086">
      <w:pPr>
        <w:pStyle w:val="Obr-Tekst1"/>
        <w:jc w:val="left"/>
      </w:pPr>
    </w:p>
    <w:p w:rsidR="00EE29FF" w:rsidRPr="001E6130" w:rsidRDefault="00EE29FF" w:rsidP="00EE29FF">
      <w:pPr>
        <w:pStyle w:val="Obr-Tekst1"/>
        <w:ind w:firstLine="0"/>
      </w:pPr>
    </w:p>
    <w:sectPr w:rsidR="00EE29FF" w:rsidRPr="001E6130" w:rsidSect="000B021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127" w:rsidRDefault="007A6127" w:rsidP="008F57DF">
      <w:pPr>
        <w:spacing w:after="0" w:line="240" w:lineRule="auto"/>
      </w:pPr>
      <w:r>
        <w:separator/>
      </w:r>
    </w:p>
  </w:endnote>
  <w:endnote w:type="continuationSeparator" w:id="1">
    <w:p w:rsidR="007A6127" w:rsidRDefault="007A6127" w:rsidP="008F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obiSans Bold">
    <w:altName w:val="Arial"/>
    <w:panose1 w:val="00000000000000000000"/>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tobiSans Regular">
    <w:altName w:val="Arial"/>
    <w:panose1 w:val="00000000000000000000"/>
    <w:charset w:val="00"/>
    <w:family w:val="modern"/>
    <w:notTrueType/>
    <w:pitch w:val="variable"/>
    <w:sig w:usb0="A00002AF" w:usb1="5000A07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StobiSerifCn Regular">
    <w:altName w:val="Arial"/>
    <w:panose1 w:val="00000000000000000000"/>
    <w:charset w:val="00"/>
    <w:family w:val="modern"/>
    <w:notTrueType/>
    <w:pitch w:val="variable"/>
    <w:sig w:usb0="A00002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Bold">
    <w:altName w:val="Arial"/>
    <w:panose1 w:val="00000000000000000000"/>
    <w:charset w:val="00"/>
    <w:family w:val="modern"/>
    <w:notTrueType/>
    <w:pitch w:val="variable"/>
    <w:sig w:usb0="A00002AF" w:usb1="5000204B" w:usb2="00000000" w:usb3="00000000" w:csb0="0000009F" w:csb1="00000000"/>
  </w:font>
  <w:font w:name="StobiSans Medium">
    <w:altName w:val="Arial"/>
    <w:panose1 w:val="00000000000000000000"/>
    <w:charset w:val="00"/>
    <w:family w:val="modern"/>
    <w:notTrueType/>
    <w:pitch w:val="variable"/>
    <w:sig w:usb0="A00002AF" w:usb1="5000204B" w:usb2="00000000" w:usb3="00000000" w:csb0="0000009F" w:csb1="00000000"/>
  </w:font>
  <w:font w:name="StobiSansIt Regular">
    <w:altName w:val="Arial"/>
    <w:panose1 w:val="00000000000000000000"/>
    <w:charset w:val="00"/>
    <w:family w:val="modern"/>
    <w:notTrueType/>
    <w:pitch w:val="variable"/>
    <w:sig w:usb0="A00002AF" w:usb1="5000A07B" w:usb2="00000000" w:usb3="00000000" w:csb0="0000009F" w:csb1="00000000"/>
  </w:font>
  <w:font w:name="StobiSansCn Bold">
    <w:altName w:val="Arial"/>
    <w:panose1 w:val="00000000000000000000"/>
    <w:charset w:val="00"/>
    <w:family w:val="modern"/>
    <w:notTrueType/>
    <w:pitch w:val="variable"/>
    <w:sig w:usb0="A00002AF" w:usb1="5000204B" w:usb2="00000000" w:usb3="00000000" w:csb0="0000009F" w:csb1="00000000"/>
  </w:font>
  <w:font w:name="StobiSansCn Regular">
    <w:altName w:val="Arial"/>
    <w:panose1 w:val="00000000000000000000"/>
    <w:charset w:val="00"/>
    <w:family w:val="modern"/>
    <w:notTrueType/>
    <w:pitch w:val="variable"/>
    <w:sig w:usb0="A00002AF" w:usb1="5000204B" w:usb2="00000000" w:usb3="00000000" w:csb0="0000009F" w:csb1="00000000"/>
  </w:font>
  <w:font w:name="StobiSerif Medium">
    <w:altName w:val="Arial"/>
    <w:panose1 w:val="00000000000000000000"/>
    <w:charset w:val="00"/>
    <w:family w:val="modern"/>
    <w:notTrueType/>
    <w:pitch w:val="variable"/>
    <w:sig w:usb0="A00002AF" w:usb1="5000204B" w:usb2="00000000" w:usb3="00000000" w:csb0="0000009F" w:csb1="00000000"/>
  </w:font>
  <w:font w:name="StobiSherif Medium">
    <w:altName w:val="Times New Roman"/>
    <w:panose1 w:val="00000000000000000000"/>
    <w:charset w:val="00"/>
    <w:family w:val="roman"/>
    <w:notTrueType/>
    <w:pitch w:val="default"/>
    <w:sig w:usb0="00000000" w:usb1="00000000" w:usb2="00000000" w:usb3="00000000" w:csb0="00000000" w:csb1="00000000"/>
  </w:font>
  <w:font w:name="Stobi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09426"/>
      <w:docPartObj>
        <w:docPartGallery w:val="Page Numbers (Bottom of Page)"/>
        <w:docPartUnique/>
      </w:docPartObj>
    </w:sdtPr>
    <w:sdtContent>
      <w:p w:rsidR="00AC2305" w:rsidRPr="004B5F17" w:rsidRDefault="00AC2305" w:rsidP="004B5F17">
        <w:pPr>
          <w:pStyle w:val="Footer"/>
          <w:jc w:val="right"/>
        </w:pPr>
        <w:r>
          <w:t xml:space="preserve">Страница </w:t>
        </w:r>
        <w:fldSimple w:instr=" PAGE   \* MERGEFORMAT ">
          <w:r w:rsidR="00BD7360">
            <w:rPr>
              <w:noProof/>
            </w:rPr>
            <w:t>18</w:t>
          </w:r>
        </w:fldSimple>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127" w:rsidRDefault="007A6127" w:rsidP="008F57DF">
      <w:pPr>
        <w:spacing w:after="0" w:line="240" w:lineRule="auto"/>
      </w:pPr>
      <w:r>
        <w:separator/>
      </w:r>
    </w:p>
  </w:footnote>
  <w:footnote w:type="continuationSeparator" w:id="1">
    <w:p w:rsidR="007A6127" w:rsidRDefault="007A6127" w:rsidP="008F5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5A2CC4"/>
    <w:lvl w:ilvl="0">
      <w:start w:val="1"/>
      <w:numFmt w:val="decimal"/>
      <w:lvlText w:val="%1."/>
      <w:lvlJc w:val="left"/>
      <w:pPr>
        <w:tabs>
          <w:tab w:val="num" w:pos="1492"/>
        </w:tabs>
        <w:ind w:left="1492" w:hanging="360"/>
      </w:pPr>
    </w:lvl>
  </w:abstractNum>
  <w:abstractNum w:abstractNumId="1">
    <w:nsid w:val="FFFFFF7D"/>
    <w:multiLevelType w:val="singleLevel"/>
    <w:tmpl w:val="604822E0"/>
    <w:lvl w:ilvl="0">
      <w:start w:val="1"/>
      <w:numFmt w:val="decimal"/>
      <w:lvlText w:val="%1."/>
      <w:lvlJc w:val="left"/>
      <w:pPr>
        <w:tabs>
          <w:tab w:val="num" w:pos="1209"/>
        </w:tabs>
        <w:ind w:left="1209" w:hanging="360"/>
      </w:pPr>
    </w:lvl>
  </w:abstractNum>
  <w:abstractNum w:abstractNumId="2">
    <w:nsid w:val="FFFFFF7E"/>
    <w:multiLevelType w:val="singleLevel"/>
    <w:tmpl w:val="173846D2"/>
    <w:lvl w:ilvl="0">
      <w:start w:val="1"/>
      <w:numFmt w:val="decimal"/>
      <w:lvlText w:val="%1."/>
      <w:lvlJc w:val="left"/>
      <w:pPr>
        <w:tabs>
          <w:tab w:val="num" w:pos="926"/>
        </w:tabs>
        <w:ind w:left="926" w:hanging="360"/>
      </w:pPr>
    </w:lvl>
  </w:abstractNum>
  <w:abstractNum w:abstractNumId="3">
    <w:nsid w:val="FFFFFF7F"/>
    <w:multiLevelType w:val="singleLevel"/>
    <w:tmpl w:val="2D98A00C"/>
    <w:lvl w:ilvl="0">
      <w:start w:val="1"/>
      <w:numFmt w:val="decimal"/>
      <w:lvlText w:val="%1."/>
      <w:lvlJc w:val="left"/>
      <w:pPr>
        <w:tabs>
          <w:tab w:val="num" w:pos="643"/>
        </w:tabs>
        <w:ind w:left="643" w:hanging="360"/>
      </w:pPr>
    </w:lvl>
  </w:abstractNum>
  <w:abstractNum w:abstractNumId="4">
    <w:nsid w:val="FFFFFF80"/>
    <w:multiLevelType w:val="singleLevel"/>
    <w:tmpl w:val="4774A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A8F4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6E7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CC8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CE142"/>
    <w:lvl w:ilvl="0">
      <w:start w:val="1"/>
      <w:numFmt w:val="decimal"/>
      <w:lvlText w:val="%1."/>
      <w:lvlJc w:val="left"/>
      <w:pPr>
        <w:tabs>
          <w:tab w:val="num" w:pos="360"/>
        </w:tabs>
        <w:ind w:left="360" w:hanging="360"/>
      </w:pPr>
    </w:lvl>
  </w:abstractNum>
  <w:abstractNum w:abstractNumId="9">
    <w:nsid w:val="FFFFFF89"/>
    <w:multiLevelType w:val="singleLevel"/>
    <w:tmpl w:val="2F2CFBDC"/>
    <w:lvl w:ilvl="0">
      <w:start w:val="1"/>
      <w:numFmt w:val="bullet"/>
      <w:lvlText w:val=""/>
      <w:lvlJc w:val="left"/>
      <w:pPr>
        <w:tabs>
          <w:tab w:val="num" w:pos="360"/>
        </w:tabs>
        <w:ind w:left="360" w:hanging="360"/>
      </w:pPr>
      <w:rPr>
        <w:rFonts w:ascii="Symbol" w:hAnsi="Symbol" w:hint="default"/>
      </w:rPr>
    </w:lvl>
  </w:abstractNum>
  <w:abstractNum w:abstractNumId="10">
    <w:nsid w:val="0D006C04"/>
    <w:multiLevelType w:val="hybridMultilevel"/>
    <w:tmpl w:val="C7964FFE"/>
    <w:lvl w:ilvl="0" w:tplc="169CCC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2F121464"/>
    <w:multiLevelType w:val="hybridMultilevel"/>
    <w:tmpl w:val="5170B896"/>
    <w:lvl w:ilvl="0" w:tplc="8620EB60">
      <w:numFmt w:val="bullet"/>
      <w:lvlText w:val="-"/>
      <w:lvlJc w:val="left"/>
      <w:pPr>
        <w:ind w:left="720" w:hanging="360"/>
      </w:pPr>
      <w:rPr>
        <w:rFonts w:ascii="StobiSans Regular" w:eastAsiaTheme="minorHAnsi" w:hAnsi="StobiSans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765A9"/>
    <w:multiLevelType w:val="hybridMultilevel"/>
    <w:tmpl w:val="0EE84554"/>
    <w:lvl w:ilvl="0" w:tplc="75AE26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A3E10"/>
    <w:multiLevelType w:val="hybridMultilevel"/>
    <w:tmpl w:val="CC382492"/>
    <w:lvl w:ilvl="0" w:tplc="2EEA22E4">
      <w:numFmt w:val="bullet"/>
      <w:lvlText w:val="-"/>
      <w:lvlJc w:val="left"/>
      <w:pPr>
        <w:ind w:left="907" w:hanging="360"/>
      </w:pPr>
      <w:rPr>
        <w:rFonts w:ascii="StobiSans Regular" w:eastAsiaTheme="minorHAnsi" w:hAnsi="StobiSans Regular" w:cs="Times New Roman"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5">
    <w:nsid w:val="32E5353C"/>
    <w:multiLevelType w:val="hybridMultilevel"/>
    <w:tmpl w:val="A3384BF2"/>
    <w:lvl w:ilvl="0" w:tplc="90020FD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nsid w:val="45756C10"/>
    <w:multiLevelType w:val="hybridMultilevel"/>
    <w:tmpl w:val="AAD06AC8"/>
    <w:lvl w:ilvl="0" w:tplc="2F24F356">
      <w:numFmt w:val="bullet"/>
      <w:lvlText w:val="-"/>
      <w:lvlJc w:val="left"/>
      <w:pPr>
        <w:ind w:left="927" w:hanging="360"/>
      </w:pPr>
      <w:rPr>
        <w:rFonts w:ascii="StobiSans Regular" w:eastAsiaTheme="minorHAnsi" w:hAnsi="StobiSans Regular"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554D228E"/>
    <w:multiLevelType w:val="hybridMultilevel"/>
    <w:tmpl w:val="8BAA8932"/>
    <w:lvl w:ilvl="0" w:tplc="1A685F40">
      <w:start w:val="1"/>
      <w:numFmt w:val="decimal"/>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1">
    <w:nsid w:val="65E961ED"/>
    <w:multiLevelType w:val="hybridMultilevel"/>
    <w:tmpl w:val="4C90C230"/>
    <w:lvl w:ilvl="0" w:tplc="6D827C26">
      <w:numFmt w:val="bullet"/>
      <w:lvlText w:val="-"/>
      <w:lvlJc w:val="left"/>
      <w:pPr>
        <w:ind w:left="907" w:hanging="360"/>
      </w:pPr>
      <w:rPr>
        <w:rFonts w:ascii="StobiSans Regular" w:eastAsiaTheme="minorHAnsi" w:hAnsi="StobiSans Regular" w:cs="Times New Roman"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2">
    <w:nsid w:val="675A2DAD"/>
    <w:multiLevelType w:val="multilevel"/>
    <w:tmpl w:val="CA1ACB06"/>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nsid w:val="683176FF"/>
    <w:multiLevelType w:val="hybridMultilevel"/>
    <w:tmpl w:val="4BDE0602"/>
    <w:lvl w:ilvl="0" w:tplc="8A30B5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73F71ADC"/>
    <w:multiLevelType w:val="hybridMultilevel"/>
    <w:tmpl w:val="35B4AAE8"/>
    <w:lvl w:ilvl="0" w:tplc="D222E984">
      <w:start w:val="1"/>
      <w:numFmt w:val="bullet"/>
      <w:lvlText w:val="–"/>
      <w:lvlJc w:val="left"/>
      <w:pPr>
        <w:ind w:left="927" w:hanging="360"/>
      </w:pPr>
      <w:rPr>
        <w:rFonts w:ascii="StobiSans Regular" w:eastAsiaTheme="minorHAnsi" w:hAnsi="StobiSans Regular"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7"/>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
    <w:abstractNumId w:val="17"/>
  </w:num>
  <w:num w:numId="3">
    <w:abstractNumId w:val="16"/>
  </w:num>
  <w:num w:numId="4">
    <w:abstractNumId w:val="19"/>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2"/>
  </w:num>
  <w:num w:numId="19">
    <w:abstractNumId w:val="18"/>
  </w:num>
  <w:num w:numId="20">
    <w:abstractNumId w:val="20"/>
  </w:num>
  <w:num w:numId="21">
    <w:abstractNumId w:val="10"/>
  </w:num>
  <w:num w:numId="22">
    <w:abstractNumId w:val="21"/>
  </w:num>
  <w:num w:numId="23">
    <w:abstractNumId w:val="14"/>
  </w:num>
  <w:num w:numId="24">
    <w:abstractNumId w:val="24"/>
  </w:num>
  <w:num w:numId="25">
    <w:abstractNumId w:val="23"/>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1024"/>
  <w:stylePaneSortMethod w:val="0000"/>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3329A7"/>
    <w:rsid w:val="00000484"/>
    <w:rsid w:val="00001F19"/>
    <w:rsid w:val="00002892"/>
    <w:rsid w:val="00007FC8"/>
    <w:rsid w:val="000238E8"/>
    <w:rsid w:val="00023E0F"/>
    <w:rsid w:val="00036892"/>
    <w:rsid w:val="00037C79"/>
    <w:rsid w:val="000477F3"/>
    <w:rsid w:val="00050A60"/>
    <w:rsid w:val="00052CD1"/>
    <w:rsid w:val="000734C5"/>
    <w:rsid w:val="000749BB"/>
    <w:rsid w:val="000775E9"/>
    <w:rsid w:val="00080FBC"/>
    <w:rsid w:val="00087EF8"/>
    <w:rsid w:val="00090552"/>
    <w:rsid w:val="00090564"/>
    <w:rsid w:val="00096847"/>
    <w:rsid w:val="000B021B"/>
    <w:rsid w:val="000B0482"/>
    <w:rsid w:val="000B1709"/>
    <w:rsid w:val="000B2EFD"/>
    <w:rsid w:val="000B7F23"/>
    <w:rsid w:val="000C5C38"/>
    <w:rsid w:val="000C699C"/>
    <w:rsid w:val="000D4C3E"/>
    <w:rsid w:val="000D6911"/>
    <w:rsid w:val="000E2C48"/>
    <w:rsid w:val="000E558A"/>
    <w:rsid w:val="000F443E"/>
    <w:rsid w:val="001002CF"/>
    <w:rsid w:val="00106AB4"/>
    <w:rsid w:val="00111DB1"/>
    <w:rsid w:val="0011668B"/>
    <w:rsid w:val="0011708D"/>
    <w:rsid w:val="0014092F"/>
    <w:rsid w:val="00141919"/>
    <w:rsid w:val="00160E11"/>
    <w:rsid w:val="00162DB3"/>
    <w:rsid w:val="00170325"/>
    <w:rsid w:val="00174BCF"/>
    <w:rsid w:val="00193B89"/>
    <w:rsid w:val="00195E0D"/>
    <w:rsid w:val="001A7792"/>
    <w:rsid w:val="001B25CD"/>
    <w:rsid w:val="001B3B59"/>
    <w:rsid w:val="001D0151"/>
    <w:rsid w:val="001D0CCD"/>
    <w:rsid w:val="001D74EE"/>
    <w:rsid w:val="001E6130"/>
    <w:rsid w:val="001E6A31"/>
    <w:rsid w:val="001F290C"/>
    <w:rsid w:val="001F5A77"/>
    <w:rsid w:val="002053C6"/>
    <w:rsid w:val="00206F03"/>
    <w:rsid w:val="00211779"/>
    <w:rsid w:val="00221378"/>
    <w:rsid w:val="00223390"/>
    <w:rsid w:val="0022341D"/>
    <w:rsid w:val="00223F6E"/>
    <w:rsid w:val="002246C1"/>
    <w:rsid w:val="0023045B"/>
    <w:rsid w:val="00230C9F"/>
    <w:rsid w:val="0024089A"/>
    <w:rsid w:val="00246402"/>
    <w:rsid w:val="00246E31"/>
    <w:rsid w:val="00247656"/>
    <w:rsid w:val="00255808"/>
    <w:rsid w:val="002600B1"/>
    <w:rsid w:val="0027116B"/>
    <w:rsid w:val="002765B8"/>
    <w:rsid w:val="00280E3F"/>
    <w:rsid w:val="002818AD"/>
    <w:rsid w:val="00286B60"/>
    <w:rsid w:val="002871A5"/>
    <w:rsid w:val="00292778"/>
    <w:rsid w:val="002A657C"/>
    <w:rsid w:val="002B62F2"/>
    <w:rsid w:val="002D1008"/>
    <w:rsid w:val="002D52D8"/>
    <w:rsid w:val="002E2ED9"/>
    <w:rsid w:val="002E7FC7"/>
    <w:rsid w:val="002F089F"/>
    <w:rsid w:val="002F357B"/>
    <w:rsid w:val="00305D98"/>
    <w:rsid w:val="003070E5"/>
    <w:rsid w:val="0031186C"/>
    <w:rsid w:val="00330705"/>
    <w:rsid w:val="003329A7"/>
    <w:rsid w:val="00341291"/>
    <w:rsid w:val="003452BC"/>
    <w:rsid w:val="00362A01"/>
    <w:rsid w:val="00363B7F"/>
    <w:rsid w:val="00365DCA"/>
    <w:rsid w:val="0036684F"/>
    <w:rsid w:val="00367086"/>
    <w:rsid w:val="00384C44"/>
    <w:rsid w:val="003A0909"/>
    <w:rsid w:val="003A1CFD"/>
    <w:rsid w:val="003B7116"/>
    <w:rsid w:val="003C72E6"/>
    <w:rsid w:val="003D7A7F"/>
    <w:rsid w:val="003E06D7"/>
    <w:rsid w:val="003E1AAC"/>
    <w:rsid w:val="00402AC3"/>
    <w:rsid w:val="00422FD3"/>
    <w:rsid w:val="00433ADC"/>
    <w:rsid w:val="004408CF"/>
    <w:rsid w:val="00455295"/>
    <w:rsid w:val="00457B79"/>
    <w:rsid w:val="004648E3"/>
    <w:rsid w:val="00466015"/>
    <w:rsid w:val="00477986"/>
    <w:rsid w:val="00487256"/>
    <w:rsid w:val="004925A7"/>
    <w:rsid w:val="00494B8A"/>
    <w:rsid w:val="004B5F17"/>
    <w:rsid w:val="004C1FA7"/>
    <w:rsid w:val="004C2063"/>
    <w:rsid w:val="004D432F"/>
    <w:rsid w:val="004E248D"/>
    <w:rsid w:val="00500B8D"/>
    <w:rsid w:val="00510ADA"/>
    <w:rsid w:val="005114B8"/>
    <w:rsid w:val="00511DA9"/>
    <w:rsid w:val="00522797"/>
    <w:rsid w:val="00531C7C"/>
    <w:rsid w:val="005527EC"/>
    <w:rsid w:val="00552974"/>
    <w:rsid w:val="00557025"/>
    <w:rsid w:val="0056384D"/>
    <w:rsid w:val="005809F4"/>
    <w:rsid w:val="005A6B10"/>
    <w:rsid w:val="005B6044"/>
    <w:rsid w:val="005C0F9C"/>
    <w:rsid w:val="005C47F6"/>
    <w:rsid w:val="005C5371"/>
    <w:rsid w:val="005C5ADD"/>
    <w:rsid w:val="005E15D8"/>
    <w:rsid w:val="005E4A8E"/>
    <w:rsid w:val="005F034D"/>
    <w:rsid w:val="005F7E02"/>
    <w:rsid w:val="005F7F98"/>
    <w:rsid w:val="00621E6F"/>
    <w:rsid w:val="00624D5C"/>
    <w:rsid w:val="00630D7A"/>
    <w:rsid w:val="00634654"/>
    <w:rsid w:val="00635947"/>
    <w:rsid w:val="006359C4"/>
    <w:rsid w:val="006469E3"/>
    <w:rsid w:val="0066003A"/>
    <w:rsid w:val="006636CC"/>
    <w:rsid w:val="00666F04"/>
    <w:rsid w:val="006714F5"/>
    <w:rsid w:val="00674791"/>
    <w:rsid w:val="00676B50"/>
    <w:rsid w:val="00695E31"/>
    <w:rsid w:val="006A0AE3"/>
    <w:rsid w:val="006B0A02"/>
    <w:rsid w:val="006C0E92"/>
    <w:rsid w:val="006C0EF5"/>
    <w:rsid w:val="006C450B"/>
    <w:rsid w:val="006D2186"/>
    <w:rsid w:val="006D2E90"/>
    <w:rsid w:val="006D5D66"/>
    <w:rsid w:val="006E01F4"/>
    <w:rsid w:val="006E53B4"/>
    <w:rsid w:val="0071110A"/>
    <w:rsid w:val="007153C8"/>
    <w:rsid w:val="007264F1"/>
    <w:rsid w:val="0073276D"/>
    <w:rsid w:val="00732F87"/>
    <w:rsid w:val="0073557A"/>
    <w:rsid w:val="007370C7"/>
    <w:rsid w:val="00745B74"/>
    <w:rsid w:val="00753DAA"/>
    <w:rsid w:val="00755D8C"/>
    <w:rsid w:val="00760D58"/>
    <w:rsid w:val="0076432D"/>
    <w:rsid w:val="007652A9"/>
    <w:rsid w:val="00772203"/>
    <w:rsid w:val="007730AC"/>
    <w:rsid w:val="00773E2E"/>
    <w:rsid w:val="007939BC"/>
    <w:rsid w:val="007A42E7"/>
    <w:rsid w:val="007A5059"/>
    <w:rsid w:val="007A6127"/>
    <w:rsid w:val="007B56FB"/>
    <w:rsid w:val="007C40B8"/>
    <w:rsid w:val="007D127D"/>
    <w:rsid w:val="007E57C0"/>
    <w:rsid w:val="007E668A"/>
    <w:rsid w:val="007E7698"/>
    <w:rsid w:val="007F5FF5"/>
    <w:rsid w:val="0080576A"/>
    <w:rsid w:val="00820DB5"/>
    <w:rsid w:val="00821772"/>
    <w:rsid w:val="00825173"/>
    <w:rsid w:val="0083260F"/>
    <w:rsid w:val="00842447"/>
    <w:rsid w:val="00850A35"/>
    <w:rsid w:val="008538E6"/>
    <w:rsid w:val="00865722"/>
    <w:rsid w:val="008846CD"/>
    <w:rsid w:val="00892F50"/>
    <w:rsid w:val="008A0F96"/>
    <w:rsid w:val="008A7BC5"/>
    <w:rsid w:val="008B074C"/>
    <w:rsid w:val="008C10B1"/>
    <w:rsid w:val="008C6C3A"/>
    <w:rsid w:val="008C6FA9"/>
    <w:rsid w:val="008F57DF"/>
    <w:rsid w:val="008F674B"/>
    <w:rsid w:val="008F79BF"/>
    <w:rsid w:val="0090023C"/>
    <w:rsid w:val="009009B1"/>
    <w:rsid w:val="00901355"/>
    <w:rsid w:val="00902308"/>
    <w:rsid w:val="00925F57"/>
    <w:rsid w:val="00933684"/>
    <w:rsid w:val="0099000F"/>
    <w:rsid w:val="00992F11"/>
    <w:rsid w:val="00994475"/>
    <w:rsid w:val="009A3875"/>
    <w:rsid w:val="009B4BAF"/>
    <w:rsid w:val="009B5370"/>
    <w:rsid w:val="009B7F15"/>
    <w:rsid w:val="009C67C9"/>
    <w:rsid w:val="009D16A1"/>
    <w:rsid w:val="009D1D85"/>
    <w:rsid w:val="009D3245"/>
    <w:rsid w:val="009E7AB8"/>
    <w:rsid w:val="009F5794"/>
    <w:rsid w:val="00A04125"/>
    <w:rsid w:val="00A04CD8"/>
    <w:rsid w:val="00A06501"/>
    <w:rsid w:val="00A07561"/>
    <w:rsid w:val="00A07DE7"/>
    <w:rsid w:val="00A16F3C"/>
    <w:rsid w:val="00A221C1"/>
    <w:rsid w:val="00A26349"/>
    <w:rsid w:val="00A32882"/>
    <w:rsid w:val="00A40CB8"/>
    <w:rsid w:val="00A442F7"/>
    <w:rsid w:val="00A577BA"/>
    <w:rsid w:val="00A62B46"/>
    <w:rsid w:val="00A64B2C"/>
    <w:rsid w:val="00A8562A"/>
    <w:rsid w:val="00AA3414"/>
    <w:rsid w:val="00AB3417"/>
    <w:rsid w:val="00AC09CC"/>
    <w:rsid w:val="00AC2305"/>
    <w:rsid w:val="00AC3101"/>
    <w:rsid w:val="00AC3FE7"/>
    <w:rsid w:val="00AC54C7"/>
    <w:rsid w:val="00AD1C1F"/>
    <w:rsid w:val="00AE53D1"/>
    <w:rsid w:val="00AF532D"/>
    <w:rsid w:val="00B11903"/>
    <w:rsid w:val="00B12151"/>
    <w:rsid w:val="00B31B4D"/>
    <w:rsid w:val="00B45469"/>
    <w:rsid w:val="00B66094"/>
    <w:rsid w:val="00B7228F"/>
    <w:rsid w:val="00B750CC"/>
    <w:rsid w:val="00B82929"/>
    <w:rsid w:val="00B86034"/>
    <w:rsid w:val="00BC6A86"/>
    <w:rsid w:val="00BD495D"/>
    <w:rsid w:val="00BD6B80"/>
    <w:rsid w:val="00BD7360"/>
    <w:rsid w:val="00BE1A23"/>
    <w:rsid w:val="00BE278D"/>
    <w:rsid w:val="00BE5ED5"/>
    <w:rsid w:val="00BF44B2"/>
    <w:rsid w:val="00BF7276"/>
    <w:rsid w:val="00C0703D"/>
    <w:rsid w:val="00C103F0"/>
    <w:rsid w:val="00C243E3"/>
    <w:rsid w:val="00C25691"/>
    <w:rsid w:val="00C300C6"/>
    <w:rsid w:val="00C3119C"/>
    <w:rsid w:val="00C4152A"/>
    <w:rsid w:val="00C572E1"/>
    <w:rsid w:val="00C74855"/>
    <w:rsid w:val="00C75FCD"/>
    <w:rsid w:val="00C81A9A"/>
    <w:rsid w:val="00C835D6"/>
    <w:rsid w:val="00C847EB"/>
    <w:rsid w:val="00C96E74"/>
    <w:rsid w:val="00CA2556"/>
    <w:rsid w:val="00CA38AC"/>
    <w:rsid w:val="00CA670F"/>
    <w:rsid w:val="00CB4187"/>
    <w:rsid w:val="00CD2A6B"/>
    <w:rsid w:val="00CE1219"/>
    <w:rsid w:val="00CE15B3"/>
    <w:rsid w:val="00CE4A86"/>
    <w:rsid w:val="00CE56CF"/>
    <w:rsid w:val="00CF0E5F"/>
    <w:rsid w:val="00CF3025"/>
    <w:rsid w:val="00D03628"/>
    <w:rsid w:val="00D03F8A"/>
    <w:rsid w:val="00D06B52"/>
    <w:rsid w:val="00D1495E"/>
    <w:rsid w:val="00D26DE4"/>
    <w:rsid w:val="00D32975"/>
    <w:rsid w:val="00D40823"/>
    <w:rsid w:val="00D430F0"/>
    <w:rsid w:val="00D537FA"/>
    <w:rsid w:val="00D54107"/>
    <w:rsid w:val="00D57291"/>
    <w:rsid w:val="00D6271B"/>
    <w:rsid w:val="00D628F8"/>
    <w:rsid w:val="00D72BF0"/>
    <w:rsid w:val="00D730A7"/>
    <w:rsid w:val="00D74ECA"/>
    <w:rsid w:val="00D83538"/>
    <w:rsid w:val="00D9078D"/>
    <w:rsid w:val="00D95339"/>
    <w:rsid w:val="00D9672C"/>
    <w:rsid w:val="00DB1F0D"/>
    <w:rsid w:val="00DB46BF"/>
    <w:rsid w:val="00DB57FB"/>
    <w:rsid w:val="00DC32D5"/>
    <w:rsid w:val="00DC4969"/>
    <w:rsid w:val="00DD0327"/>
    <w:rsid w:val="00DD2117"/>
    <w:rsid w:val="00DD681E"/>
    <w:rsid w:val="00DF3203"/>
    <w:rsid w:val="00E04CF2"/>
    <w:rsid w:val="00E151F5"/>
    <w:rsid w:val="00E21F5A"/>
    <w:rsid w:val="00E22798"/>
    <w:rsid w:val="00E32CC1"/>
    <w:rsid w:val="00E35104"/>
    <w:rsid w:val="00E35914"/>
    <w:rsid w:val="00E4155B"/>
    <w:rsid w:val="00E4642C"/>
    <w:rsid w:val="00E72983"/>
    <w:rsid w:val="00E72BF6"/>
    <w:rsid w:val="00E81F29"/>
    <w:rsid w:val="00E84A21"/>
    <w:rsid w:val="00E9496D"/>
    <w:rsid w:val="00EB3BDE"/>
    <w:rsid w:val="00EB5379"/>
    <w:rsid w:val="00EC3223"/>
    <w:rsid w:val="00ED7003"/>
    <w:rsid w:val="00EE1CE3"/>
    <w:rsid w:val="00EE29FF"/>
    <w:rsid w:val="00EF7FD3"/>
    <w:rsid w:val="00F02F3B"/>
    <w:rsid w:val="00F07F07"/>
    <w:rsid w:val="00F12406"/>
    <w:rsid w:val="00F21872"/>
    <w:rsid w:val="00F27D70"/>
    <w:rsid w:val="00F31ADF"/>
    <w:rsid w:val="00F33D87"/>
    <w:rsid w:val="00F425F8"/>
    <w:rsid w:val="00F45DC3"/>
    <w:rsid w:val="00F47978"/>
    <w:rsid w:val="00F50DF9"/>
    <w:rsid w:val="00F61295"/>
    <w:rsid w:val="00F6183C"/>
    <w:rsid w:val="00F66287"/>
    <w:rsid w:val="00F765E5"/>
    <w:rsid w:val="00F767C3"/>
    <w:rsid w:val="00F925B9"/>
    <w:rsid w:val="00F935B8"/>
    <w:rsid w:val="00FB31EF"/>
    <w:rsid w:val="00FB3486"/>
    <w:rsid w:val="00FB368B"/>
    <w:rsid w:val="00FC0EFD"/>
    <w:rsid w:val="00FC4962"/>
    <w:rsid w:val="00FD671C"/>
    <w:rsid w:val="00FE1864"/>
    <w:rsid w:val="00FE6312"/>
    <w:rsid w:val="00FF042E"/>
    <w:rsid w:val="00FF23C3"/>
    <w:rsid w:val="00FF5838"/>
    <w:rsid w:val="00FF5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3F0"/>
  </w:style>
  <w:style w:type="paragraph" w:styleId="Heading1">
    <w:name w:val="heading 1"/>
    <w:basedOn w:val="Normal"/>
    <w:next w:val="Normal"/>
    <w:link w:val="Heading1Char"/>
    <w:uiPriority w:val="9"/>
    <w:qFormat/>
    <w:rsid w:val="00FF23C3"/>
    <w:pPr>
      <w:keepNext/>
      <w:keepLines/>
      <w:spacing w:before="200" w:after="400" w:line="240" w:lineRule="auto"/>
      <w:outlineLvl w:val="0"/>
    </w:pPr>
    <w:rPr>
      <w:rFonts w:ascii="StobiSans Bold" w:eastAsiaTheme="majorEastAsia" w:hAnsi="StobiSans Bold" w:cstheme="majorBidi"/>
      <w:bCs/>
      <w:sz w:val="24"/>
    </w:rPr>
  </w:style>
  <w:style w:type="paragraph" w:styleId="Heading2">
    <w:name w:val="heading 2"/>
    <w:basedOn w:val="Normal"/>
    <w:next w:val="Normal"/>
    <w:link w:val="Heading2Char"/>
    <w:uiPriority w:val="9"/>
    <w:unhideWhenUsed/>
    <w:qFormat/>
    <w:rsid w:val="00001F19"/>
    <w:pPr>
      <w:keepNext/>
      <w:keepLines/>
      <w:spacing w:line="240" w:lineRule="auto"/>
      <w:jc w:val="center"/>
      <w:outlineLvl w:val="1"/>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
    <w:name w:val="Членови"/>
    <w:uiPriority w:val="99"/>
    <w:rsid w:val="00EE1CE3"/>
    <w:pPr>
      <w:numPr>
        <w:numId w:val="2"/>
      </w:numPr>
    </w:pPr>
  </w:style>
  <w:style w:type="paragraph" w:styleId="BlockText">
    <w:name w:val="Block Text"/>
    <w:basedOn w:val="Normal"/>
    <w:uiPriority w:val="99"/>
    <w:unhideWhenUsed/>
    <w:rsid w:val="00557025"/>
    <w:pPr>
      <w:keepNext/>
      <w:numPr>
        <w:numId w:val="5"/>
      </w:numPr>
      <w:spacing w:before="200" w:line="240" w:lineRule="auto"/>
      <w:ind w:right="-2"/>
      <w:jc w:val="center"/>
    </w:pPr>
    <w:rPr>
      <w:rFonts w:ascii="StobiSans Bold" w:eastAsiaTheme="minorEastAsia" w:hAnsi="StobiSans Bold"/>
      <w:iCs/>
    </w:rPr>
  </w:style>
  <w:style w:type="paragraph" w:styleId="BodyText">
    <w:name w:val="Body Text"/>
    <w:basedOn w:val="Normal"/>
    <w:link w:val="BodyTextChar"/>
    <w:uiPriority w:val="99"/>
    <w:unhideWhenUsed/>
    <w:rsid w:val="00FF23C3"/>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rsid w:val="00FF23C3"/>
    <w:rPr>
      <w:rFonts w:ascii="StobiSans Regular" w:hAnsi="StobiSans Regular"/>
    </w:rPr>
  </w:style>
  <w:style w:type="paragraph" w:styleId="BodyText2">
    <w:name w:val="Body Text 2"/>
    <w:basedOn w:val="Normal"/>
    <w:link w:val="BodyText2Char"/>
    <w:uiPriority w:val="99"/>
    <w:unhideWhenUsed/>
    <w:rsid w:val="00FF23C3"/>
    <w:pPr>
      <w:numPr>
        <w:ilvl w:val="1"/>
        <w:numId w:val="5"/>
      </w:numPr>
      <w:spacing w:line="240" w:lineRule="auto"/>
      <w:jc w:val="both"/>
    </w:pPr>
    <w:rPr>
      <w:rFonts w:ascii="StobiSans Regular" w:hAnsi="StobiSans Regular"/>
    </w:rPr>
  </w:style>
  <w:style w:type="character" w:customStyle="1" w:styleId="BodyText2Char">
    <w:name w:val="Body Text 2 Char"/>
    <w:basedOn w:val="DefaultParagraphFont"/>
    <w:link w:val="BodyText2"/>
    <w:uiPriority w:val="99"/>
    <w:rsid w:val="00FF23C3"/>
    <w:rPr>
      <w:rFonts w:ascii="StobiSans Regular" w:hAnsi="StobiSans Regular"/>
    </w:rPr>
  </w:style>
  <w:style w:type="paragraph" w:styleId="BodyTextIndent2">
    <w:name w:val="Body Text Indent 2"/>
    <w:basedOn w:val="Normal"/>
    <w:link w:val="BodyTextIndent2Char"/>
    <w:uiPriority w:val="99"/>
    <w:unhideWhenUsed/>
    <w:rsid w:val="00EE1CE3"/>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rsid w:val="00EE1CE3"/>
    <w:rPr>
      <w:rFonts w:ascii="StobiSans Regular" w:hAnsi="StobiSans Regular"/>
    </w:rPr>
  </w:style>
  <w:style w:type="paragraph" w:styleId="BodyTextIndent3">
    <w:name w:val="Body Text Indent 3"/>
    <w:basedOn w:val="BodyText3"/>
    <w:link w:val="BodyTextIndent3Char"/>
    <w:uiPriority w:val="99"/>
    <w:unhideWhenUsed/>
    <w:rsid w:val="003D7A7F"/>
    <w:pPr>
      <w:numPr>
        <w:ilvl w:val="3"/>
        <w:numId w:val="17"/>
      </w:numPr>
    </w:pPr>
  </w:style>
  <w:style w:type="character" w:customStyle="1" w:styleId="BodyTextIndent3Char">
    <w:name w:val="Body Text Indent 3 Char"/>
    <w:basedOn w:val="DefaultParagraphFont"/>
    <w:link w:val="BodyTextIndent3"/>
    <w:uiPriority w:val="99"/>
    <w:rsid w:val="003D7A7F"/>
    <w:rPr>
      <w:rFonts w:ascii="StobiSans Regular" w:hAnsi="StobiSans Regular"/>
    </w:rPr>
  </w:style>
  <w:style w:type="paragraph" w:styleId="Title">
    <w:name w:val="Title"/>
    <w:basedOn w:val="Normal"/>
    <w:next w:val="Normal"/>
    <w:link w:val="TitleChar"/>
    <w:uiPriority w:val="10"/>
    <w:qFormat/>
    <w:rsid w:val="00FF23C3"/>
    <w:pPr>
      <w:spacing w:before="400" w:after="400" w:line="240" w:lineRule="auto"/>
      <w:contextualSpacing/>
      <w:jc w:val="center"/>
    </w:pPr>
    <w:rPr>
      <w:rFonts w:ascii="StobiSans Bold" w:eastAsiaTheme="majorEastAsia" w:hAnsi="StobiSans Bold" w:cstheme="majorBidi"/>
      <w:spacing w:val="5"/>
      <w:kern w:val="28"/>
      <w:sz w:val="24"/>
      <w:szCs w:val="24"/>
    </w:rPr>
  </w:style>
  <w:style w:type="character" w:customStyle="1" w:styleId="TitleChar">
    <w:name w:val="Title Char"/>
    <w:basedOn w:val="DefaultParagraphFont"/>
    <w:link w:val="Title"/>
    <w:uiPriority w:val="10"/>
    <w:rsid w:val="00FF23C3"/>
    <w:rPr>
      <w:rFonts w:ascii="StobiSans Bold" w:eastAsiaTheme="majorEastAsia" w:hAnsi="StobiSans Bold" w:cstheme="majorBidi"/>
      <w:spacing w:val="5"/>
      <w:kern w:val="28"/>
      <w:sz w:val="24"/>
      <w:szCs w:val="24"/>
    </w:rPr>
  </w:style>
  <w:style w:type="paragraph" w:styleId="BodyText3">
    <w:name w:val="Body Text 3"/>
    <w:basedOn w:val="Normal"/>
    <w:link w:val="BodyText3Char"/>
    <w:uiPriority w:val="99"/>
    <w:unhideWhenUsed/>
    <w:rsid w:val="00FF23C3"/>
    <w:pPr>
      <w:numPr>
        <w:ilvl w:val="2"/>
        <w:numId w:val="5"/>
      </w:numPr>
      <w:spacing w:line="240" w:lineRule="auto"/>
      <w:contextualSpacing/>
    </w:pPr>
    <w:rPr>
      <w:rFonts w:ascii="StobiSans Regular" w:hAnsi="StobiSans Regular"/>
    </w:rPr>
  </w:style>
  <w:style w:type="character" w:customStyle="1" w:styleId="BodyText3Char">
    <w:name w:val="Body Text 3 Char"/>
    <w:basedOn w:val="DefaultParagraphFont"/>
    <w:link w:val="BodyText3"/>
    <w:uiPriority w:val="99"/>
    <w:rsid w:val="00FF23C3"/>
    <w:rPr>
      <w:rFonts w:ascii="StobiSans Regular" w:hAnsi="StobiSans Regular"/>
    </w:rPr>
  </w:style>
  <w:style w:type="paragraph" w:styleId="Date">
    <w:name w:val="Date"/>
    <w:basedOn w:val="Normal"/>
    <w:next w:val="Normal"/>
    <w:link w:val="DateChar"/>
    <w:uiPriority w:val="99"/>
    <w:unhideWhenUsed/>
    <w:rsid w:val="00FF23C3"/>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rsid w:val="00FF23C3"/>
    <w:rPr>
      <w:rFonts w:ascii="StobiSans Regular" w:hAnsi="StobiSans Regular"/>
    </w:rPr>
  </w:style>
  <w:style w:type="table" w:styleId="TableGrid">
    <w:name w:val="Table Grid"/>
    <w:basedOn w:val="TableNormal"/>
    <w:rsid w:val="00772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F23C3"/>
    <w:rPr>
      <w:rFonts w:ascii="StobiSans Bold" w:eastAsiaTheme="majorEastAsia" w:hAnsi="StobiSans Bold" w:cstheme="majorBidi"/>
      <w:bCs/>
      <w:sz w:val="24"/>
    </w:rPr>
  </w:style>
  <w:style w:type="character" w:customStyle="1" w:styleId="Heading2Char">
    <w:name w:val="Heading 2 Char"/>
    <w:basedOn w:val="DefaultParagraphFont"/>
    <w:link w:val="Heading2"/>
    <w:uiPriority w:val="9"/>
    <w:rsid w:val="00001F19"/>
    <w:rPr>
      <w:rFonts w:eastAsiaTheme="majorEastAsia" w:cstheme="majorBidi"/>
      <w:bCs/>
    </w:rPr>
  </w:style>
  <w:style w:type="character" w:styleId="Hyperlink">
    <w:name w:val="Hyperlink"/>
    <w:basedOn w:val="DefaultParagraphFont"/>
    <w:uiPriority w:val="99"/>
    <w:semiHidden/>
    <w:unhideWhenUsed/>
    <w:rsid w:val="00850A35"/>
    <w:rPr>
      <w:color w:val="0000FF"/>
      <w:u w:val="single"/>
    </w:rPr>
  </w:style>
  <w:style w:type="character" w:styleId="FollowedHyperlink">
    <w:name w:val="FollowedHyperlink"/>
    <w:basedOn w:val="DefaultParagraphFont"/>
    <w:uiPriority w:val="99"/>
    <w:semiHidden/>
    <w:unhideWhenUsed/>
    <w:rsid w:val="00850A35"/>
    <w:rPr>
      <w:color w:val="800080"/>
      <w:u w:val="single"/>
    </w:rPr>
  </w:style>
  <w:style w:type="paragraph" w:customStyle="1" w:styleId="xl64">
    <w:name w:val="xl64"/>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5">
    <w:name w:val="xl65"/>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6">
    <w:name w:val="xl66"/>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mk-MK"/>
    </w:rPr>
  </w:style>
  <w:style w:type="paragraph" w:customStyle="1" w:styleId="xl67">
    <w:name w:val="xl67"/>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cs="Times New Roman"/>
      <w:sz w:val="20"/>
      <w:szCs w:val="20"/>
      <w:lang w:eastAsia="mk-MK"/>
    </w:rPr>
  </w:style>
  <w:style w:type="paragraph" w:customStyle="1" w:styleId="xl68">
    <w:name w:val="xl68"/>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mk-MK"/>
    </w:rPr>
  </w:style>
  <w:style w:type="paragraph" w:customStyle="1" w:styleId="xl69">
    <w:name w:val="xl69"/>
    <w:basedOn w:val="Normal"/>
    <w:rsid w:val="00850A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xl70">
    <w:name w:val="xl70"/>
    <w:basedOn w:val="Normal"/>
    <w:rsid w:val="00850A3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customStyle="1" w:styleId="xl71">
    <w:name w:val="xl71"/>
    <w:basedOn w:val="Normal"/>
    <w:rsid w:val="00850A3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mk-MK"/>
    </w:rPr>
  </w:style>
  <w:style w:type="paragraph" w:styleId="Header">
    <w:name w:val="header"/>
    <w:basedOn w:val="Normal"/>
    <w:link w:val="HeaderChar"/>
    <w:uiPriority w:val="99"/>
    <w:unhideWhenUsed/>
    <w:rsid w:val="008F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DF"/>
  </w:style>
  <w:style w:type="paragraph" w:styleId="Footer">
    <w:name w:val="footer"/>
    <w:basedOn w:val="Normal"/>
    <w:link w:val="FooterChar"/>
    <w:uiPriority w:val="99"/>
    <w:unhideWhenUsed/>
    <w:rsid w:val="008F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DF"/>
  </w:style>
  <w:style w:type="paragraph" w:styleId="BodyTextIndent">
    <w:name w:val="Body Text Indent"/>
    <w:basedOn w:val="Normal"/>
    <w:link w:val="BodyTextIndentChar"/>
    <w:uiPriority w:val="99"/>
    <w:semiHidden/>
    <w:unhideWhenUsed/>
    <w:rsid w:val="00230C9F"/>
    <w:pPr>
      <w:spacing w:after="120"/>
      <w:ind w:left="283"/>
    </w:pPr>
  </w:style>
  <w:style w:type="character" w:customStyle="1" w:styleId="BodyTextIndentChar">
    <w:name w:val="Body Text Indent Char"/>
    <w:basedOn w:val="DefaultParagraphFont"/>
    <w:link w:val="BodyTextIndent"/>
    <w:uiPriority w:val="99"/>
    <w:semiHidden/>
    <w:rsid w:val="00230C9F"/>
  </w:style>
  <w:style w:type="paragraph" w:customStyle="1" w:styleId="NazivInsSl">
    <w:name w:val="NazivInsSl"/>
    <w:basedOn w:val="NormalIndent"/>
    <w:qFormat/>
    <w:rsid w:val="00D40823"/>
    <w:pPr>
      <w:spacing w:after="0"/>
      <w:ind w:left="2268"/>
    </w:pPr>
    <w:rPr>
      <w:rFonts w:ascii="StobiSans Bold" w:hAnsi="StobiSans Bold"/>
      <w:noProof/>
      <w:sz w:val="24"/>
      <w:szCs w:val="24"/>
      <w:lang w:eastAsia="mk-MK"/>
    </w:rPr>
  </w:style>
  <w:style w:type="paragraph" w:customStyle="1" w:styleId="Generalii">
    <w:name w:val="Generalii"/>
    <w:basedOn w:val="Normal"/>
    <w:qFormat/>
    <w:rsid w:val="00D9078D"/>
    <w:pPr>
      <w:tabs>
        <w:tab w:val="center" w:pos="6804"/>
      </w:tabs>
      <w:spacing w:after="0" w:line="360" w:lineRule="auto"/>
    </w:pPr>
    <w:rPr>
      <w:rFonts w:ascii="StobiSans Bold" w:hAnsi="StobiSans Bold"/>
      <w:sz w:val="24"/>
      <w:szCs w:val="24"/>
    </w:rPr>
  </w:style>
  <w:style w:type="paragraph" w:styleId="NormalIndent">
    <w:name w:val="Normal Indent"/>
    <w:basedOn w:val="Normal"/>
    <w:uiPriority w:val="99"/>
    <w:semiHidden/>
    <w:unhideWhenUsed/>
    <w:rsid w:val="00D40823"/>
    <w:pPr>
      <w:ind w:left="720"/>
    </w:pPr>
  </w:style>
  <w:style w:type="paragraph" w:customStyle="1" w:styleId="Generalii2">
    <w:name w:val="Generalii2"/>
    <w:basedOn w:val="Generalii"/>
    <w:qFormat/>
    <w:rsid w:val="00531C7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BalloonText">
    <w:name w:val="Balloon Text"/>
    <w:basedOn w:val="Normal"/>
    <w:link w:val="BalloonTextChar"/>
    <w:uiPriority w:val="99"/>
    <w:semiHidden/>
    <w:unhideWhenUsed/>
    <w:rsid w:val="00B31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4D"/>
    <w:rPr>
      <w:rFonts w:ascii="Tahoma" w:hAnsi="Tahoma" w:cs="Tahoma"/>
      <w:sz w:val="16"/>
      <w:szCs w:val="16"/>
    </w:rPr>
  </w:style>
  <w:style w:type="character" w:styleId="CommentReference">
    <w:name w:val="annotation reference"/>
    <w:basedOn w:val="DefaultParagraphFont"/>
    <w:uiPriority w:val="99"/>
    <w:semiHidden/>
    <w:unhideWhenUsed/>
    <w:rsid w:val="00037C79"/>
    <w:rPr>
      <w:sz w:val="16"/>
      <w:szCs w:val="16"/>
    </w:rPr>
  </w:style>
  <w:style w:type="paragraph" w:styleId="CommentText">
    <w:name w:val="annotation text"/>
    <w:basedOn w:val="Normal"/>
    <w:link w:val="CommentTextChar"/>
    <w:uiPriority w:val="99"/>
    <w:semiHidden/>
    <w:unhideWhenUsed/>
    <w:rsid w:val="00037C79"/>
    <w:pPr>
      <w:spacing w:line="240" w:lineRule="auto"/>
    </w:pPr>
    <w:rPr>
      <w:sz w:val="20"/>
      <w:szCs w:val="20"/>
    </w:rPr>
  </w:style>
  <w:style w:type="character" w:customStyle="1" w:styleId="CommentTextChar">
    <w:name w:val="Comment Text Char"/>
    <w:basedOn w:val="DefaultParagraphFont"/>
    <w:link w:val="CommentText"/>
    <w:uiPriority w:val="99"/>
    <w:semiHidden/>
    <w:rsid w:val="00037C79"/>
    <w:rPr>
      <w:sz w:val="20"/>
      <w:szCs w:val="20"/>
    </w:rPr>
  </w:style>
  <w:style w:type="paragraph" w:styleId="CommentSubject">
    <w:name w:val="annotation subject"/>
    <w:basedOn w:val="CommentText"/>
    <w:next w:val="CommentText"/>
    <w:link w:val="CommentSubjectChar"/>
    <w:uiPriority w:val="99"/>
    <w:semiHidden/>
    <w:unhideWhenUsed/>
    <w:rsid w:val="00037C79"/>
    <w:rPr>
      <w:b/>
      <w:bCs/>
    </w:rPr>
  </w:style>
  <w:style w:type="character" w:customStyle="1" w:styleId="CommentSubjectChar">
    <w:name w:val="Comment Subject Char"/>
    <w:basedOn w:val="CommentTextChar"/>
    <w:link w:val="CommentSubject"/>
    <w:uiPriority w:val="99"/>
    <w:semiHidden/>
    <w:rsid w:val="00037C79"/>
    <w:rPr>
      <w:b/>
      <w:bCs/>
      <w:sz w:val="20"/>
      <w:szCs w:val="20"/>
    </w:rPr>
  </w:style>
  <w:style w:type="paragraph" w:customStyle="1" w:styleId="Obr-Title">
    <w:name w:val="Obr-Title"/>
    <w:basedOn w:val="Normal"/>
    <w:rsid w:val="00531C7C"/>
    <w:pPr>
      <w:spacing w:before="4000" w:after="2000"/>
      <w:jc w:val="center"/>
    </w:pPr>
    <w:rPr>
      <w:rFonts w:ascii="StobiSerif Bold" w:hAnsi="StobiSerif Bold"/>
      <w:sz w:val="28"/>
      <w:szCs w:val="28"/>
    </w:rPr>
  </w:style>
  <w:style w:type="paragraph" w:customStyle="1" w:styleId="Obr-Naslov1">
    <w:name w:val="Obr-Naslov 1"/>
    <w:basedOn w:val="Heading1"/>
    <w:rsid w:val="00531C7C"/>
    <w:pPr>
      <w:spacing w:before="400"/>
      <w:ind w:left="567"/>
    </w:pPr>
    <w:rPr>
      <w:rFonts w:ascii="StobiSans Medium" w:hAnsi="StobiSans Medium"/>
    </w:rPr>
  </w:style>
  <w:style w:type="paragraph" w:customStyle="1" w:styleId="Obr-Tekst1">
    <w:name w:val="Obr-Tekst 1"/>
    <w:basedOn w:val="BodyText"/>
    <w:rsid w:val="009009B1"/>
    <w:pPr>
      <w:ind w:firstLine="567"/>
    </w:pPr>
  </w:style>
  <w:style w:type="paragraph" w:customStyle="1" w:styleId="Obr-Naslov2">
    <w:name w:val="Obr-Naslov 2"/>
    <w:basedOn w:val="Obr-Naslov1"/>
    <w:rsid w:val="007652A9"/>
    <w:rPr>
      <w:rFonts w:ascii="StobiSans Regular" w:hAnsi="StobiSans Regular"/>
      <w:u w:val="single"/>
    </w:rPr>
  </w:style>
  <w:style w:type="paragraph" w:styleId="Caption">
    <w:name w:val="caption"/>
    <w:basedOn w:val="Normal"/>
    <w:next w:val="Normal"/>
    <w:uiPriority w:val="35"/>
    <w:unhideWhenUsed/>
    <w:rsid w:val="009009B1"/>
    <w:pPr>
      <w:spacing w:line="240" w:lineRule="auto"/>
    </w:pPr>
    <w:rPr>
      <w:rFonts w:ascii="StobiSansIt Regular" w:hAnsi="StobiSansIt Regular"/>
      <w:i/>
      <w:iCs/>
      <w:szCs w:val="18"/>
    </w:rPr>
  </w:style>
  <w:style w:type="paragraph" w:customStyle="1" w:styleId="Obr-TabNaslov">
    <w:name w:val="Obr-TabNaslov"/>
    <w:basedOn w:val="Normal"/>
    <w:rsid w:val="009009B1"/>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9009B1"/>
    <w:pPr>
      <w:jc w:val="left"/>
    </w:pPr>
  </w:style>
  <w:style w:type="paragraph" w:customStyle="1" w:styleId="Obr-TabText1">
    <w:name w:val="Obr-TabText1"/>
    <w:basedOn w:val="Normal"/>
    <w:rsid w:val="009009B1"/>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9009B1"/>
    <w:rPr>
      <w:rFonts w:ascii="StobiSansCn Bold" w:hAnsi="StobiSansCn Bold"/>
      <w:sz w:val="22"/>
      <w:lang w:eastAsia="mk-MK"/>
    </w:rPr>
  </w:style>
  <w:style w:type="paragraph" w:styleId="FootnoteText">
    <w:name w:val="footnote text"/>
    <w:basedOn w:val="Normal"/>
    <w:link w:val="FootnoteTextChar"/>
    <w:uiPriority w:val="99"/>
    <w:semiHidden/>
    <w:unhideWhenUsed/>
    <w:rsid w:val="00755D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D8C"/>
    <w:rPr>
      <w:sz w:val="20"/>
      <w:szCs w:val="20"/>
    </w:rPr>
  </w:style>
  <w:style w:type="character" w:styleId="FootnoteReference">
    <w:name w:val="footnote reference"/>
    <w:basedOn w:val="DefaultParagraphFont"/>
    <w:uiPriority w:val="99"/>
    <w:semiHidden/>
    <w:unhideWhenUsed/>
    <w:rsid w:val="00755D8C"/>
    <w:rPr>
      <w:vertAlign w:val="superscript"/>
    </w:rPr>
  </w:style>
  <w:style w:type="paragraph" w:styleId="ListParagraph">
    <w:name w:val="List Paragraph"/>
    <w:basedOn w:val="Normal"/>
    <w:uiPriority w:val="34"/>
    <w:qFormat/>
    <w:rsid w:val="00DF3203"/>
    <w:pPr>
      <w:ind w:left="720"/>
      <w:contextualSpacing/>
    </w:pPr>
  </w:style>
</w:styles>
</file>

<file path=word/webSettings.xml><?xml version="1.0" encoding="utf-8"?>
<w:webSettings xmlns:r="http://schemas.openxmlformats.org/officeDocument/2006/relationships" xmlns:w="http://schemas.openxmlformats.org/wordprocessingml/2006/main">
  <w:divs>
    <w:div w:id="312803603">
      <w:bodyDiv w:val="1"/>
      <w:marLeft w:val="0"/>
      <w:marRight w:val="0"/>
      <w:marTop w:val="0"/>
      <w:marBottom w:val="0"/>
      <w:divBdr>
        <w:top w:val="none" w:sz="0" w:space="0" w:color="auto"/>
        <w:left w:val="none" w:sz="0" w:space="0" w:color="auto"/>
        <w:bottom w:val="none" w:sz="0" w:space="0" w:color="auto"/>
        <w:right w:val="none" w:sz="0" w:space="0" w:color="auto"/>
      </w:divBdr>
    </w:div>
    <w:div w:id="411045034">
      <w:bodyDiv w:val="1"/>
      <w:marLeft w:val="0"/>
      <w:marRight w:val="0"/>
      <w:marTop w:val="0"/>
      <w:marBottom w:val="0"/>
      <w:divBdr>
        <w:top w:val="none" w:sz="0" w:space="0" w:color="auto"/>
        <w:left w:val="none" w:sz="0" w:space="0" w:color="auto"/>
        <w:bottom w:val="none" w:sz="0" w:space="0" w:color="auto"/>
        <w:right w:val="none" w:sz="0" w:space="0" w:color="auto"/>
      </w:divBdr>
    </w:div>
    <w:div w:id="508956850">
      <w:bodyDiv w:val="1"/>
      <w:marLeft w:val="0"/>
      <w:marRight w:val="0"/>
      <w:marTop w:val="0"/>
      <w:marBottom w:val="0"/>
      <w:divBdr>
        <w:top w:val="none" w:sz="0" w:space="0" w:color="auto"/>
        <w:left w:val="none" w:sz="0" w:space="0" w:color="auto"/>
        <w:bottom w:val="none" w:sz="0" w:space="0" w:color="auto"/>
        <w:right w:val="none" w:sz="0" w:space="0" w:color="auto"/>
      </w:divBdr>
    </w:div>
    <w:div w:id="1028412536">
      <w:bodyDiv w:val="1"/>
      <w:marLeft w:val="0"/>
      <w:marRight w:val="0"/>
      <w:marTop w:val="0"/>
      <w:marBottom w:val="0"/>
      <w:divBdr>
        <w:top w:val="none" w:sz="0" w:space="0" w:color="auto"/>
        <w:left w:val="none" w:sz="0" w:space="0" w:color="auto"/>
        <w:bottom w:val="none" w:sz="0" w:space="0" w:color="auto"/>
        <w:right w:val="none" w:sz="0" w:space="0" w:color="auto"/>
      </w:divBdr>
    </w:div>
    <w:div w:id="1420519615">
      <w:bodyDiv w:val="1"/>
      <w:marLeft w:val="0"/>
      <w:marRight w:val="0"/>
      <w:marTop w:val="0"/>
      <w:marBottom w:val="0"/>
      <w:divBdr>
        <w:top w:val="none" w:sz="0" w:space="0" w:color="auto"/>
        <w:left w:val="none" w:sz="0" w:space="0" w:color="auto"/>
        <w:bottom w:val="none" w:sz="0" w:space="0" w:color="auto"/>
        <w:right w:val="none" w:sz="0" w:space="0" w:color="auto"/>
      </w:divBdr>
    </w:div>
    <w:div w:id="1668438067">
      <w:bodyDiv w:val="1"/>
      <w:marLeft w:val="0"/>
      <w:marRight w:val="0"/>
      <w:marTop w:val="0"/>
      <w:marBottom w:val="0"/>
      <w:divBdr>
        <w:top w:val="none" w:sz="0" w:space="0" w:color="auto"/>
        <w:left w:val="none" w:sz="0" w:space="0" w:color="auto"/>
        <w:bottom w:val="none" w:sz="0" w:space="0" w:color="auto"/>
        <w:right w:val="none" w:sz="0" w:space="0" w:color="auto"/>
      </w:divBdr>
    </w:div>
    <w:div w:id="1805351110">
      <w:bodyDiv w:val="1"/>
      <w:marLeft w:val="0"/>
      <w:marRight w:val="0"/>
      <w:marTop w:val="0"/>
      <w:marBottom w:val="0"/>
      <w:divBdr>
        <w:top w:val="none" w:sz="0" w:space="0" w:color="auto"/>
        <w:left w:val="none" w:sz="0" w:space="0" w:color="auto"/>
        <w:bottom w:val="none" w:sz="0" w:space="0" w:color="auto"/>
        <w:right w:val="none" w:sz="0" w:space="0" w:color="auto"/>
      </w:divBdr>
      <w:divsChild>
        <w:div w:id="408314093">
          <w:marLeft w:val="360"/>
          <w:marRight w:val="0"/>
          <w:marTop w:val="200"/>
          <w:marBottom w:val="0"/>
          <w:divBdr>
            <w:top w:val="none" w:sz="0" w:space="0" w:color="auto"/>
            <w:left w:val="none" w:sz="0" w:space="0" w:color="auto"/>
            <w:bottom w:val="none" w:sz="0" w:space="0" w:color="auto"/>
            <w:right w:val="none" w:sz="0" w:space="0" w:color="auto"/>
          </w:divBdr>
        </w:div>
        <w:div w:id="21785132">
          <w:marLeft w:val="360"/>
          <w:marRight w:val="0"/>
          <w:marTop w:val="200"/>
          <w:marBottom w:val="0"/>
          <w:divBdr>
            <w:top w:val="none" w:sz="0" w:space="0" w:color="auto"/>
            <w:left w:val="none" w:sz="0" w:space="0" w:color="auto"/>
            <w:bottom w:val="none" w:sz="0" w:space="0" w:color="auto"/>
            <w:right w:val="none" w:sz="0" w:space="0" w:color="auto"/>
          </w:divBdr>
        </w:div>
        <w:div w:id="994340832">
          <w:marLeft w:val="360"/>
          <w:marRight w:val="0"/>
          <w:marTop w:val="200"/>
          <w:marBottom w:val="0"/>
          <w:divBdr>
            <w:top w:val="none" w:sz="0" w:space="0" w:color="auto"/>
            <w:left w:val="none" w:sz="0" w:space="0" w:color="auto"/>
            <w:bottom w:val="none" w:sz="0" w:space="0" w:color="auto"/>
            <w:right w:val="none" w:sz="0" w:space="0" w:color="auto"/>
          </w:divBdr>
        </w:div>
        <w:div w:id="347605172">
          <w:marLeft w:val="360"/>
          <w:marRight w:val="0"/>
          <w:marTop w:val="200"/>
          <w:marBottom w:val="0"/>
          <w:divBdr>
            <w:top w:val="none" w:sz="0" w:space="0" w:color="auto"/>
            <w:left w:val="none" w:sz="0" w:space="0" w:color="auto"/>
            <w:bottom w:val="none" w:sz="0" w:space="0" w:color="auto"/>
            <w:right w:val="none" w:sz="0" w:space="0" w:color="auto"/>
          </w:divBdr>
        </w:div>
      </w:divsChild>
    </w:div>
    <w:div w:id="2062168555">
      <w:bodyDiv w:val="1"/>
      <w:marLeft w:val="0"/>
      <w:marRight w:val="0"/>
      <w:marTop w:val="0"/>
      <w:marBottom w:val="0"/>
      <w:divBdr>
        <w:top w:val="none" w:sz="0" w:space="0" w:color="auto"/>
        <w:left w:val="none" w:sz="0" w:space="0" w:color="auto"/>
        <w:bottom w:val="none" w:sz="0" w:space="0" w:color="auto"/>
        <w:right w:val="none" w:sz="0" w:space="0" w:color="auto"/>
      </w:divBdr>
    </w:div>
    <w:div w:id="21461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liath\Downloads\&#1054;&#1073;&#1088;&#1072;&#1079;&#1077;&#1094;%20&#1079;&#1072;%20&#1075;&#1086;&#1076;&#1080;&#1096;&#1077;&#1085;%20&#1087;&#1083;&#1072;&#1085;%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BA2B-57F1-4E2D-A59D-D1D7197D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годишен план за работата на инс. служба</Template>
  <TotalTime>1</TotalTime>
  <Pages>18</Pages>
  <Words>3971</Words>
  <Characters>22638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Goliath</dc:creator>
  <cp:lastModifiedBy>HP</cp:lastModifiedBy>
  <cp:revision>2</cp:revision>
  <cp:lastPrinted>2020-11-18T09:29:00Z</cp:lastPrinted>
  <dcterms:created xsi:type="dcterms:W3CDTF">2020-12-14T07:12:00Z</dcterms:created>
  <dcterms:modified xsi:type="dcterms:W3CDTF">2020-12-14T07:12:00Z</dcterms:modified>
</cp:coreProperties>
</file>